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-282" w:leftChars="-135" w:right="-340" w:rightChars="-162" w:hanging="1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国民经济主要指标</w:t>
      </w:r>
    </w:p>
    <w:tbl>
      <w:tblPr>
        <w:tblStyle w:val="2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12"/>
        <w:gridCol w:w="1215"/>
        <w:gridCol w:w="1480"/>
        <w:gridCol w:w="1297"/>
        <w:gridCol w:w="8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增长%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地区生产总值*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20626354 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23795982 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6.0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32" w:firstLineChars="97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第二产业*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11567585 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13711431 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5.9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32" w:firstLineChars="97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第三产业*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9058769 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10084551 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6.1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全口径财政收入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6652667 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6915155 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3.9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81" w:leftChars="-86" w:firstLine="480" w:firstLineChars="2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其中：税收收入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5558574 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5941384 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6.9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区级一般公共预算收入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1545907 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1614747 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4.5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81" w:leftChars="-86" w:firstLine="480" w:firstLineChars="2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其中：税收收入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1464905 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1544150 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5.4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FF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  <w:highlight w:val="none"/>
              </w:rPr>
              <w:t>固定资产投资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  <w:highlight w:val="none"/>
              </w:rPr>
              <w:t>万元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color w:val="FF0000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highlight w:val="none"/>
                <w:lang w:bidi="ar"/>
              </w:rPr>
              <w:t xml:space="preserve"> 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color w:val="FF0000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highlight w:val="none"/>
                <w:lang w:bidi="ar"/>
              </w:rPr>
              <w:t xml:space="preserve"> 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highlight w:val="none"/>
                <w:lang w:bidi="ar"/>
              </w:rPr>
              <w:t xml:space="preserve">10.6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32" w:firstLineChars="97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基础设施及公建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万元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eastAsia="宋体" w:cs="宋体"/>
                <w:color w:val="FF0000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highlight w:val="none"/>
                <w:lang w:bidi="ar"/>
              </w:rPr>
              <w:t xml:space="preserve"> 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eastAsia="宋体" w:cs="宋体"/>
                <w:color w:val="FF0000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highlight w:val="none"/>
                <w:lang w:bidi="ar"/>
              </w:rPr>
              <w:t xml:space="preserve"> 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 xml:space="preserve">-17.0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规模以上工业总产值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51131661 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53997353 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限额以上商品销售额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34389643 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43344086 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方正姚体" w:hAnsi="方正姚体" w:eastAsia="方正姚体" w:cs="方正姚体"/>
                <w:sz w:val="18"/>
                <w:szCs w:val="18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26.0</w:t>
            </w:r>
            <w:r>
              <w:rPr>
                <w:rFonts w:hint="eastAsia" w:ascii="方正姚体" w:hAnsi="方正姚体" w:eastAsia="方正姚体" w:cs="方正姚体"/>
                <w:kern w:val="0"/>
                <w:sz w:val="18"/>
                <w:szCs w:val="18"/>
                <w:lang w:bidi="ar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限额以上社会消费品零售总额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631938 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755153 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19.5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实际使用外资金额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124751 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146907 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17.8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实际使用内资金额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3237252 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4040738 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24.8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81" w:leftChars="-86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“四上”企业营业收入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105182668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120536751 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14.6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32" w:firstLineChars="97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工业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52648362 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56531309 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7.4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592" w:firstLineChars="247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vertAlign w:val="superscript"/>
              </w:rPr>
              <w:t>#</w:t>
            </w:r>
            <w:r>
              <w:rPr>
                <w:rFonts w:hint="eastAsia" w:ascii="宋体" w:hAnsi="宋体"/>
                <w:sz w:val="24"/>
                <w:szCs w:val="24"/>
              </w:rPr>
              <w:t>外商及港澳台投资企业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47283607 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51787979 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9.5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32" w:firstLineChars="97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第三产业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49533328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60657442 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22.5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81" w:leftChars="-86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“四上”企业期末从业人员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万人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38.4 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41.7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8.6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32" w:firstLineChars="97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外商及港澳台投资企业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万人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19.7 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21.1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7.1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批准外商及港澳台投资企业数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56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91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62.5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合同外资金额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503039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方正姚体" w:hAnsi="方正姚体" w:eastAsia="方正姚体" w:cs="方正姚体"/>
                <w:sz w:val="18"/>
                <w:szCs w:val="18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714833 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42.1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注册内资企业数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4465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5949 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33.2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内资企业注册资金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23556905 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15032669 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-36.2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全员劳动生产率*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万元/人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51.9 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52.4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1.0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7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工业全员劳动生产率*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万元/人</w:t>
            </w:r>
          </w:p>
        </w:tc>
        <w:tc>
          <w:tcPr>
            <w:tcW w:w="14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56.6 </w:t>
            </w:r>
          </w:p>
        </w:tc>
        <w:tc>
          <w:tcPr>
            <w:tcW w:w="12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59.8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5.7 </w:t>
            </w:r>
          </w:p>
        </w:tc>
      </w:tr>
    </w:tbl>
    <w:p>
      <w:pPr>
        <w:ind w:left="-178" w:leftChars="-85"/>
        <w:rPr>
          <w:rFonts w:ascii="宋体" w:hAnsi="宋体"/>
        </w:rPr>
      </w:pPr>
      <w:r>
        <w:rPr>
          <w:rFonts w:hint="eastAsia" w:ascii="宋体" w:hAnsi="宋体"/>
        </w:rPr>
        <w:t>注：带“*”号指标绝对额按现价计算，增长速度按可比价格计算。</w:t>
      </w:r>
    </w:p>
    <w:p>
      <w:pPr>
        <w:spacing w:before="312" w:beforeLines="100" w:line="240" w:lineRule="atLeast"/>
        <w:ind w:right="-57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地区生产总值（GDP）构成情况</w:t>
      </w:r>
    </w:p>
    <w:p>
      <w:pPr>
        <w:spacing w:line="240" w:lineRule="atLeast"/>
        <w:ind w:right="-57"/>
        <w:jc w:val="right"/>
        <w:rPr>
          <w:rFonts w:ascii="宋体" w:hAnsi="宋体"/>
        </w:rPr>
      </w:pPr>
      <w:r>
        <w:rPr>
          <w:rFonts w:hint="eastAsia" w:ascii="宋体" w:hAnsi="宋体"/>
        </w:rPr>
        <w:t>单位：万元</w:t>
      </w:r>
    </w:p>
    <w:tbl>
      <w:tblPr>
        <w:tblStyle w:val="20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34"/>
        <w:gridCol w:w="1348"/>
        <w:gridCol w:w="1348"/>
        <w:gridCol w:w="1348"/>
        <w:gridCol w:w="13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增长%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占比%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3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地区生产总值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20626354 </w:t>
            </w:r>
            <w:r>
              <w:rPr>
                <w:rFonts w:hint="eastAsia" w:ascii="宋体" w:hAnsi="宋体" w:cs="宋体"/>
                <w:kern w:val="0"/>
                <w:lang w:bidi="ar"/>
              </w:rPr>
              <w:t xml:space="preserve">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23795982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6.0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>100.0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3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按产业划分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第二产业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11567585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13711431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5.9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57.6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第三产业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9058769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10084551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6.1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42.4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按行业划分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工  业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11588096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14003676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6.7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58.8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建筑业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718288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694592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-10.7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2.9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批发和零售业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1091135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1267522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9.7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5.3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交通运输、仓储和邮政业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757822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781423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3.1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3.3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住宿和餐饮业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53006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58111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7.3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0.2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金融业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3068347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3331697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4.1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14.0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房地产业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360902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388971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7.3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1.6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3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其他服务业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2988757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3269989 </w:t>
            </w:r>
          </w:p>
        </w:tc>
        <w:tc>
          <w:tcPr>
            <w:tcW w:w="13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8.5 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lang w:bidi="ar"/>
              </w:rPr>
              <w:t xml:space="preserve">13.7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8528" w:type="dxa"/>
            <w:gridSpan w:val="5"/>
            <w:tcBorders>
              <w:top w:val="single" w:color="auto" w:sz="4" w:space="0"/>
              <w:left w:val="nil"/>
              <w:bottom w:val="nil"/>
              <w:right w:val="nil"/>
            </w:tcBorders>
            <w:vAlign w:val="bottom"/>
          </w:tcPr>
          <w:p>
            <w:pPr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注： 1.根据《国民经济行业分类》（GB/T 4754-2017），第一产业指农、林、牧、渔业（不含农、林、牧、渔专业及辅助性活动）；第二产业指采矿业（不含开采专业及辅助性活动），制造业（不含金属制品、机械和设备修理业），电力、热力、燃气及水生产和供应业，建筑业；第三产业即服务业，指除第一产业、第二产业以外的其他行业。</w:t>
            </w:r>
          </w:p>
          <w:p>
            <w:pPr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2.地区生产总值绝对值按现价计算，增长速度按不变价计算。</w:t>
            </w:r>
          </w:p>
        </w:tc>
      </w:tr>
    </w:tbl>
    <w:p>
      <w:pPr>
        <w:spacing w:before="312" w:beforeLines="100"/>
        <w:ind w:left="-708" w:leftChars="-337" w:right="-764" w:rightChars="-364"/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天津开发区主要经济指标占天津市比重（2021）</w:t>
      </w:r>
    </w:p>
    <w:tbl>
      <w:tblPr>
        <w:tblStyle w:val="20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36"/>
        <w:gridCol w:w="861"/>
        <w:gridCol w:w="985"/>
        <w:gridCol w:w="862"/>
        <w:gridCol w:w="1195"/>
        <w:gridCol w:w="832"/>
        <w:gridCol w:w="105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27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指标</w:t>
            </w:r>
          </w:p>
        </w:tc>
        <w:tc>
          <w:tcPr>
            <w:tcW w:w="8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单位</w:t>
            </w:r>
          </w:p>
        </w:tc>
        <w:tc>
          <w:tcPr>
            <w:tcW w:w="9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开发区</w:t>
            </w:r>
          </w:p>
        </w:tc>
        <w:tc>
          <w:tcPr>
            <w:tcW w:w="8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增长%</w:t>
            </w:r>
          </w:p>
        </w:tc>
        <w:tc>
          <w:tcPr>
            <w:tcW w:w="11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天津市</w:t>
            </w:r>
          </w:p>
        </w:tc>
        <w:tc>
          <w:tcPr>
            <w:tcW w:w="8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增长%</w:t>
            </w:r>
          </w:p>
        </w:tc>
        <w:tc>
          <w:tcPr>
            <w:tcW w:w="105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占全市比重（%）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7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地区生产总值</w:t>
            </w:r>
          </w:p>
        </w:tc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亿元</w:t>
            </w: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 xml:space="preserve">2379.60 </w:t>
            </w:r>
          </w:p>
        </w:tc>
        <w:tc>
          <w:tcPr>
            <w:tcW w:w="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6.0 </w:t>
            </w: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方正姚体" w:hAnsi="方正姚体" w:eastAsia="方正姚体" w:cs="方正姚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bidi="ar"/>
              </w:rPr>
              <w:t>15695.05</w:t>
            </w:r>
            <w:r>
              <w:rPr>
                <w:rFonts w:hint="eastAsia" w:ascii="方正姚体" w:hAnsi="方正姚体" w:eastAsia="方正姚体" w:cs="方正姚体"/>
                <w:kern w:val="0"/>
                <w:sz w:val="20"/>
                <w:szCs w:val="20"/>
                <w:lang w:bidi="ar"/>
              </w:rPr>
              <w:t xml:space="preserve"> 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2"/>
                <w:szCs w:val="22"/>
              </w:rPr>
            </w:pPr>
            <w:r>
              <w:rPr>
                <w:rFonts w:hint="eastAsia" w:ascii="宋体" w:hAnsi="宋体"/>
                <w:sz w:val="22"/>
                <w:szCs w:val="22"/>
              </w:rPr>
              <w:t>6.6</w:t>
            </w:r>
          </w:p>
        </w:tc>
        <w:tc>
          <w:tcPr>
            <w:tcW w:w="1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/>
                <w:sz w:val="22"/>
                <w:szCs w:val="22"/>
              </w:rPr>
              <w:t xml:space="preserve">15.2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7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10" w:firstLineChars="10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第二产业</w:t>
            </w:r>
          </w:p>
        </w:tc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亿元</w:t>
            </w: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 xml:space="preserve">1371.14 </w:t>
            </w:r>
          </w:p>
        </w:tc>
        <w:tc>
          <w:tcPr>
            <w:tcW w:w="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5.9 </w:t>
            </w: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bidi="ar"/>
              </w:rPr>
              <w:t>5854.27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bidi="ar"/>
              </w:rPr>
              <w:t>6.5</w:t>
            </w:r>
          </w:p>
        </w:tc>
        <w:tc>
          <w:tcPr>
            <w:tcW w:w="1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/>
                <w:sz w:val="22"/>
                <w:szCs w:val="22"/>
              </w:rPr>
              <w:t xml:space="preserve">23.4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7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10" w:firstLineChars="10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第三产业</w:t>
            </w:r>
          </w:p>
        </w:tc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亿元</w:t>
            </w: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 xml:space="preserve">1008.46 </w:t>
            </w:r>
          </w:p>
        </w:tc>
        <w:tc>
          <w:tcPr>
            <w:tcW w:w="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6.1 </w:t>
            </w: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bidi="ar"/>
              </w:rPr>
              <w:t>9615.37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bidi="ar"/>
              </w:rPr>
              <w:t xml:space="preserve">6.7 </w:t>
            </w:r>
          </w:p>
        </w:tc>
        <w:tc>
          <w:tcPr>
            <w:tcW w:w="1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/>
                <w:sz w:val="22"/>
                <w:szCs w:val="22"/>
              </w:rPr>
              <w:t xml:space="preserve">10.5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7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10" w:firstLineChars="10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#工业</w:t>
            </w:r>
          </w:p>
        </w:tc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亿元</w:t>
            </w: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 xml:space="preserve">1400.37 </w:t>
            </w:r>
          </w:p>
        </w:tc>
        <w:tc>
          <w:tcPr>
            <w:tcW w:w="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6.7 </w:t>
            </w: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bidi="ar"/>
              </w:rPr>
              <w:t>5224.57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bidi="ar"/>
              </w:rPr>
              <w:t>8.0</w:t>
            </w:r>
          </w:p>
        </w:tc>
        <w:tc>
          <w:tcPr>
            <w:tcW w:w="1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/>
                <w:sz w:val="22"/>
                <w:szCs w:val="22"/>
              </w:rPr>
              <w:t xml:space="preserve">26.8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7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公共财政预算收入</w:t>
            </w:r>
          </w:p>
        </w:tc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亿元</w:t>
            </w: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 xml:space="preserve">161.47 </w:t>
            </w:r>
          </w:p>
        </w:tc>
        <w:tc>
          <w:tcPr>
            <w:tcW w:w="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4.5 </w:t>
            </w: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 xml:space="preserve">2141.04 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 xml:space="preserve">11.3 </w:t>
            </w:r>
          </w:p>
        </w:tc>
        <w:tc>
          <w:tcPr>
            <w:tcW w:w="1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7.5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7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FF0000"/>
              </w:rPr>
            </w:pPr>
            <w:r>
              <w:rPr>
                <w:rFonts w:hint="eastAsia" w:ascii="宋体" w:hAnsi="宋体"/>
                <w:color w:val="FF0000"/>
              </w:rPr>
              <w:t>固定资产投资</w:t>
            </w:r>
          </w:p>
        </w:tc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</w:rPr>
            </w:pPr>
            <w:r>
              <w:rPr>
                <w:rFonts w:hint="eastAsia" w:ascii="宋体" w:hAnsi="宋体"/>
                <w:color w:val="FF0000"/>
              </w:rPr>
              <w:t>亿元</w:t>
            </w: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</w:rPr>
              <w:t xml:space="preserve"> </w:t>
            </w:r>
          </w:p>
        </w:tc>
        <w:tc>
          <w:tcPr>
            <w:tcW w:w="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color w:val="FF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10.6 </w:t>
            </w: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color w:val="FF0000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color w:val="FF0000"/>
              </w:rPr>
            </w:pPr>
            <w:r>
              <w:rPr>
                <w:rFonts w:hint="eastAsia" w:ascii="宋体" w:hAnsi="宋体"/>
                <w:color w:val="FF0000"/>
              </w:rPr>
              <w:t>4.8</w:t>
            </w:r>
          </w:p>
        </w:tc>
        <w:tc>
          <w:tcPr>
            <w:tcW w:w="1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--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</w:trPr>
        <w:tc>
          <w:tcPr>
            <w:tcW w:w="27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规模以上工业总产值</w:t>
            </w:r>
          </w:p>
        </w:tc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亿元</w:t>
            </w: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  <w:kern w:val="0"/>
              </w:rPr>
              <w:t xml:space="preserve">5399.74 </w:t>
            </w:r>
          </w:p>
        </w:tc>
        <w:tc>
          <w:tcPr>
            <w:tcW w:w="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  <w:kern w:val="0"/>
              </w:rPr>
              <w:t xml:space="preserve">5.6 </w:t>
            </w: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20751.40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 xml:space="preserve">18.4 </w:t>
            </w:r>
          </w:p>
        </w:tc>
        <w:tc>
          <w:tcPr>
            <w:tcW w:w="1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26.0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27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限额以上商品销售额</w:t>
            </w:r>
          </w:p>
        </w:tc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亿元</w:t>
            </w: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4334.41</w:t>
            </w:r>
          </w:p>
        </w:tc>
        <w:tc>
          <w:tcPr>
            <w:tcW w:w="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26.0</w:t>
            </w: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--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26.1</w:t>
            </w:r>
          </w:p>
        </w:tc>
        <w:tc>
          <w:tcPr>
            <w:tcW w:w="1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--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27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实际使用外资</w:t>
            </w:r>
          </w:p>
        </w:tc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亿美元</w:t>
            </w: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14.69 </w:t>
            </w:r>
          </w:p>
        </w:tc>
        <w:tc>
          <w:tcPr>
            <w:tcW w:w="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17.8 </w:t>
            </w: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53.89 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13.8 </w:t>
            </w:r>
          </w:p>
        </w:tc>
        <w:tc>
          <w:tcPr>
            <w:tcW w:w="1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27.3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7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实际使用内资</w:t>
            </w:r>
          </w:p>
        </w:tc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亿元</w:t>
            </w: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404.07 </w:t>
            </w:r>
          </w:p>
        </w:tc>
        <w:tc>
          <w:tcPr>
            <w:tcW w:w="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24.8 </w:t>
            </w: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3378.18 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15.4 </w:t>
            </w:r>
          </w:p>
        </w:tc>
        <w:tc>
          <w:tcPr>
            <w:tcW w:w="1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12.0</w:t>
            </w:r>
          </w:p>
        </w:tc>
      </w:tr>
    </w:tbl>
    <w:p>
      <w:pPr>
        <w:spacing w:before="312" w:beforeLines="100"/>
        <w:ind w:left="-708" w:leftChars="-337" w:right="-1050" w:rightChars="-500"/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br w:type="page"/>
      </w:r>
      <w:r>
        <w:rPr>
          <w:rFonts w:hint="eastAsia" w:ascii="宋体" w:hAnsi="宋体"/>
          <w:b/>
          <w:sz w:val="32"/>
          <w:szCs w:val="32"/>
        </w:rPr>
        <w:t>天津开发区主要经济指标占滨海新区比重（2021）</w:t>
      </w:r>
    </w:p>
    <w:tbl>
      <w:tblPr>
        <w:tblStyle w:val="20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37"/>
        <w:gridCol w:w="846"/>
        <w:gridCol w:w="951"/>
        <w:gridCol w:w="777"/>
        <w:gridCol w:w="1208"/>
        <w:gridCol w:w="705"/>
        <w:gridCol w:w="129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27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指标</w:t>
            </w:r>
          </w:p>
        </w:tc>
        <w:tc>
          <w:tcPr>
            <w:tcW w:w="8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单位</w:t>
            </w:r>
          </w:p>
        </w:tc>
        <w:tc>
          <w:tcPr>
            <w:tcW w:w="9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开发区</w:t>
            </w:r>
          </w:p>
        </w:tc>
        <w:tc>
          <w:tcPr>
            <w:tcW w:w="7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增长%</w:t>
            </w:r>
          </w:p>
        </w:tc>
        <w:tc>
          <w:tcPr>
            <w:tcW w:w="12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滨海新区</w:t>
            </w:r>
          </w:p>
        </w:tc>
        <w:tc>
          <w:tcPr>
            <w:tcW w:w="7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增长%</w:t>
            </w:r>
          </w:p>
        </w:tc>
        <w:tc>
          <w:tcPr>
            <w:tcW w:w="129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占滨海新区比重（%）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7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地区生产总值</w:t>
            </w:r>
          </w:p>
        </w:tc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亿元</w:t>
            </w: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</w:rPr>
              <w:t xml:space="preserve">2379.60 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6.0 </w:t>
            </w: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6715.49 </w:t>
            </w: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7.3 </w:t>
            </w: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35.4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7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10" w:firstLineChars="10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第二产业</w:t>
            </w:r>
          </w:p>
        </w:tc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亿元</w:t>
            </w: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</w:rPr>
              <w:t xml:space="preserve">1371.14 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5.9 </w:t>
            </w: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3152.06</w:t>
            </w: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6.9</w:t>
            </w: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43.5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7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10" w:firstLineChars="10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第三产业</w:t>
            </w:r>
          </w:p>
        </w:tc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亿元</w:t>
            </w: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</w:rPr>
              <w:t xml:space="preserve">1008.46 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6.1 </w:t>
            </w: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3538.50</w:t>
            </w: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7.7</w:t>
            </w: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28.5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7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600" w:firstLineChars="250"/>
              <w:rPr>
                <w:rFonts w:ascii="宋体" w:hAnsi="宋体"/>
              </w:rPr>
            </w:pPr>
            <w:r>
              <w:rPr>
                <w:rFonts w:ascii="宋体" w:hAnsi="宋体"/>
                <w:sz w:val="24"/>
                <w:szCs w:val="24"/>
                <w:vertAlign w:val="superscript"/>
              </w:rPr>
              <w:t>#</w:t>
            </w:r>
            <w:r>
              <w:rPr>
                <w:rFonts w:hint="eastAsia" w:ascii="宋体" w:hAnsi="宋体"/>
              </w:rPr>
              <w:t>工业</w:t>
            </w:r>
          </w:p>
        </w:tc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亿元</w:t>
            </w: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center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</w:rPr>
              <w:t xml:space="preserve">1400.37 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center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6.7 </w:t>
            </w: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2959.21</w:t>
            </w: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7.9</w:t>
            </w: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47.3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</w:trPr>
        <w:tc>
          <w:tcPr>
            <w:tcW w:w="27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公共财政预算收入</w:t>
            </w:r>
          </w:p>
        </w:tc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亿元</w:t>
            </w: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</w:rPr>
              <w:t xml:space="preserve">161.47 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4.5 </w:t>
            </w: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572.41 </w:t>
            </w: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11.0 </w:t>
            </w: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28.2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7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FF0000"/>
              </w:rPr>
            </w:pPr>
            <w:r>
              <w:rPr>
                <w:rFonts w:hint="eastAsia" w:ascii="宋体" w:hAnsi="宋体"/>
                <w:color w:val="FF0000"/>
              </w:rPr>
              <w:t>固定资产投资</w:t>
            </w:r>
          </w:p>
        </w:tc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</w:rPr>
            </w:pPr>
            <w:r>
              <w:rPr>
                <w:rFonts w:hint="eastAsia" w:ascii="宋体" w:hAnsi="宋体"/>
                <w:color w:val="FF0000"/>
              </w:rPr>
              <w:t>亿元</w:t>
            </w: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10.6 </w:t>
            </w: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color w:val="FF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 </w:t>
            </w: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color w:val="FF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7.2 </w:t>
            </w: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color w:val="FF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23.5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7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规模以上工业总产值</w:t>
            </w:r>
          </w:p>
        </w:tc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亿元</w:t>
            </w: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  <w:kern w:val="0"/>
              </w:rPr>
              <w:t xml:space="preserve">5399.74 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  <w:kern w:val="0"/>
              </w:rPr>
              <w:t xml:space="preserve">5.6 </w:t>
            </w: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10461.97 </w:t>
            </w: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17.5 </w:t>
            </w: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51.6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7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限额以上商品销售额</w:t>
            </w:r>
          </w:p>
        </w:tc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亿元</w:t>
            </w: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4334.41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26.0</w:t>
            </w: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25710.95 </w:t>
            </w: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32.8 </w:t>
            </w: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16.9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7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实际使用外资</w:t>
            </w:r>
          </w:p>
        </w:tc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亿美元</w:t>
            </w: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14.69 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17.8 </w:t>
            </w: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43.24 </w:t>
            </w: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15.8 </w:t>
            </w: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34.0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7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实际使用内资</w:t>
            </w:r>
          </w:p>
        </w:tc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亿元</w:t>
            </w:r>
          </w:p>
        </w:tc>
        <w:tc>
          <w:tcPr>
            <w:tcW w:w="9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404.07 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24.8 </w:t>
            </w: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1419.30 </w:t>
            </w:r>
          </w:p>
        </w:tc>
        <w:tc>
          <w:tcPr>
            <w:tcW w:w="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23.1 </w:t>
            </w: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28.5 </w:t>
            </w:r>
          </w:p>
        </w:tc>
      </w:tr>
    </w:tbl>
    <w:p>
      <w:pPr>
        <w:rPr>
          <w:rFonts w:ascii="宋体" w:hAnsi="宋体"/>
          <w:b/>
        </w:rPr>
      </w:pPr>
    </w:p>
    <w:p>
      <w:pPr>
        <w:spacing w:before="312" w:beforeLines="100"/>
        <w:ind w:left="-141" w:leftChars="-67" w:right="-764" w:rightChars="-364"/>
        <w:jc w:val="center"/>
        <w:rPr>
          <w:rFonts w:ascii="宋体" w:hAnsi="宋体"/>
          <w:b/>
          <w:bCs/>
          <w:sz w:val="32"/>
          <w:szCs w:val="32"/>
        </w:rPr>
      </w:pPr>
    </w:p>
    <w:p>
      <w:pPr>
        <w:spacing w:before="312" w:beforeLines="100"/>
        <w:ind w:left="-141" w:leftChars="-67" w:right="-764" w:rightChars="-364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东区主要经济指标</w:t>
      </w:r>
    </w:p>
    <w:tbl>
      <w:tblPr>
        <w:tblStyle w:val="20"/>
        <w:tblW w:w="0" w:type="auto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34"/>
        <w:gridCol w:w="1023"/>
        <w:gridCol w:w="1176"/>
        <w:gridCol w:w="1196"/>
        <w:gridCol w:w="1193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10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119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同比增长</w:t>
            </w:r>
          </w:p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（%）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地区生产总值</w:t>
            </w:r>
            <w:r>
              <w:rPr>
                <w:rFonts w:hint="eastAsia" w:ascii="宋体" w:hAnsi="宋体"/>
              </w:rPr>
              <w:t>*</w:t>
            </w:r>
          </w:p>
        </w:tc>
        <w:tc>
          <w:tcPr>
            <w:tcW w:w="10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12080912 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13753366 </w:t>
            </w:r>
          </w:p>
        </w:tc>
        <w:tc>
          <w:tcPr>
            <w:tcW w:w="119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5.3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固定资产投资</w:t>
            </w:r>
          </w:p>
        </w:tc>
        <w:tc>
          <w:tcPr>
            <w:tcW w:w="10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color w:val="FF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color w:val="FF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19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21.1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13" w:firstLineChars="89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基础设施及公建</w:t>
            </w:r>
          </w:p>
        </w:tc>
        <w:tc>
          <w:tcPr>
            <w:tcW w:w="10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color w:val="FF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color w:val="FF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19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-2.7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规模以上工业总产值</w:t>
            </w:r>
          </w:p>
        </w:tc>
        <w:tc>
          <w:tcPr>
            <w:tcW w:w="10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22756719 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24385771 </w:t>
            </w:r>
          </w:p>
        </w:tc>
        <w:tc>
          <w:tcPr>
            <w:tcW w:w="119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7.2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限额以上商品销售额</w:t>
            </w:r>
          </w:p>
        </w:tc>
        <w:tc>
          <w:tcPr>
            <w:tcW w:w="10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18447873 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23419801 </w:t>
            </w:r>
          </w:p>
        </w:tc>
        <w:tc>
          <w:tcPr>
            <w:tcW w:w="119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27.0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“四上”企业营业收入</w:t>
            </w:r>
          </w:p>
        </w:tc>
        <w:tc>
          <w:tcPr>
            <w:tcW w:w="10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56524852 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64761959 </w:t>
            </w:r>
          </w:p>
        </w:tc>
        <w:tc>
          <w:tcPr>
            <w:tcW w:w="119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14.6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“四上”企业期末从业人员</w:t>
            </w:r>
          </w:p>
        </w:tc>
        <w:tc>
          <w:tcPr>
            <w:tcW w:w="10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245111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262440 </w:t>
            </w:r>
          </w:p>
        </w:tc>
        <w:tc>
          <w:tcPr>
            <w:tcW w:w="119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7.1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现有外商及港澳台投资项目数</w:t>
            </w:r>
          </w:p>
        </w:tc>
        <w:tc>
          <w:tcPr>
            <w:tcW w:w="10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810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767</w:t>
            </w:r>
          </w:p>
        </w:tc>
        <w:tc>
          <w:tcPr>
            <w:tcW w:w="119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 xml:space="preserve">-5.3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现有外商及港澳台投资项目投资总额</w:t>
            </w:r>
          </w:p>
        </w:tc>
        <w:tc>
          <w:tcPr>
            <w:tcW w:w="10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 xml:space="preserve">3150193 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/>
                <w:kern w:val="0"/>
                <w:sz w:val="22"/>
                <w:szCs w:val="22"/>
              </w:rPr>
              <w:t xml:space="preserve">3660150 </w:t>
            </w:r>
          </w:p>
        </w:tc>
        <w:tc>
          <w:tcPr>
            <w:tcW w:w="119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16.2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39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13" w:firstLineChars="89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外方注册资本</w:t>
            </w:r>
          </w:p>
        </w:tc>
        <w:tc>
          <w:tcPr>
            <w:tcW w:w="10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 xml:space="preserve">1422613 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/>
                <w:kern w:val="0"/>
                <w:sz w:val="22"/>
                <w:szCs w:val="22"/>
              </w:rPr>
              <w:t xml:space="preserve">1562724 </w:t>
            </w:r>
          </w:p>
        </w:tc>
        <w:tc>
          <w:tcPr>
            <w:tcW w:w="119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 xml:space="preserve">9.8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现有注册内资企业</w:t>
            </w:r>
          </w:p>
        </w:tc>
        <w:tc>
          <w:tcPr>
            <w:tcW w:w="10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12774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13682</w:t>
            </w:r>
          </w:p>
        </w:tc>
        <w:tc>
          <w:tcPr>
            <w:tcW w:w="119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 xml:space="preserve">7.1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现有内资企业注册资金</w:t>
            </w:r>
          </w:p>
        </w:tc>
        <w:tc>
          <w:tcPr>
            <w:tcW w:w="10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43559358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 xml:space="preserve">44287997 </w:t>
            </w:r>
          </w:p>
        </w:tc>
        <w:tc>
          <w:tcPr>
            <w:tcW w:w="119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 xml:space="preserve">1.7 </w:t>
            </w:r>
          </w:p>
        </w:tc>
      </w:tr>
    </w:tbl>
    <w:p>
      <w:pPr>
        <w:jc w:val="left"/>
        <w:rPr>
          <w:rFonts w:ascii="宋体" w:hAnsi="宋体"/>
        </w:rPr>
      </w:pPr>
      <w:r>
        <w:rPr>
          <w:rFonts w:hint="eastAsia" w:ascii="宋体" w:hAnsi="宋体"/>
        </w:rPr>
        <w:t>注：带“*”号指标绝对额按现价计算，增长速度按可比价格计算。</w:t>
      </w:r>
    </w:p>
    <w:p>
      <w:pPr>
        <w:spacing w:before="312" w:beforeLines="100"/>
        <w:ind w:left="-141" w:leftChars="-67" w:right="-764" w:rightChars="-364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中心商务片区主要经济指标</w:t>
      </w:r>
    </w:p>
    <w:tbl>
      <w:tblPr>
        <w:tblStyle w:val="20"/>
        <w:tblW w:w="0" w:type="auto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83"/>
        <w:gridCol w:w="1054"/>
        <w:gridCol w:w="1339"/>
        <w:gridCol w:w="1403"/>
        <w:gridCol w:w="1043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10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</w:t>
            </w:r>
          </w:p>
        </w:tc>
        <w:tc>
          <w:tcPr>
            <w:tcW w:w="13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14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104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同比增长（%）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地区生产总值*</w:t>
            </w:r>
          </w:p>
        </w:tc>
        <w:tc>
          <w:tcPr>
            <w:tcW w:w="10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3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2552028 </w:t>
            </w:r>
          </w:p>
        </w:tc>
        <w:tc>
          <w:tcPr>
            <w:tcW w:w="14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2762023 </w:t>
            </w:r>
          </w:p>
        </w:tc>
        <w:tc>
          <w:tcPr>
            <w:tcW w:w="104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4.8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固定资产投资</w:t>
            </w:r>
          </w:p>
        </w:tc>
        <w:tc>
          <w:tcPr>
            <w:tcW w:w="10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万元</w:t>
            </w:r>
          </w:p>
        </w:tc>
        <w:tc>
          <w:tcPr>
            <w:tcW w:w="13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4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04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20.6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基础设施及公建</w:t>
            </w:r>
          </w:p>
        </w:tc>
        <w:tc>
          <w:tcPr>
            <w:tcW w:w="10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3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65796</w:t>
            </w:r>
          </w:p>
        </w:tc>
        <w:tc>
          <w:tcPr>
            <w:tcW w:w="14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98036</w:t>
            </w:r>
          </w:p>
        </w:tc>
        <w:tc>
          <w:tcPr>
            <w:tcW w:w="104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49.0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规模以上工业总产值</w:t>
            </w:r>
          </w:p>
        </w:tc>
        <w:tc>
          <w:tcPr>
            <w:tcW w:w="10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3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203607 </w:t>
            </w:r>
          </w:p>
        </w:tc>
        <w:tc>
          <w:tcPr>
            <w:tcW w:w="14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126683 </w:t>
            </w:r>
          </w:p>
        </w:tc>
        <w:tc>
          <w:tcPr>
            <w:tcW w:w="104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-37.8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限额以上商品销售额</w:t>
            </w:r>
          </w:p>
        </w:tc>
        <w:tc>
          <w:tcPr>
            <w:tcW w:w="10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3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12718254 </w:t>
            </w:r>
          </w:p>
        </w:tc>
        <w:tc>
          <w:tcPr>
            <w:tcW w:w="14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15025227 </w:t>
            </w:r>
          </w:p>
        </w:tc>
        <w:tc>
          <w:tcPr>
            <w:tcW w:w="104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18.1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“四上”企业营业收入</w:t>
            </w:r>
          </w:p>
        </w:tc>
        <w:tc>
          <w:tcPr>
            <w:tcW w:w="10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3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16202828 </w:t>
            </w:r>
          </w:p>
        </w:tc>
        <w:tc>
          <w:tcPr>
            <w:tcW w:w="14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19655242 </w:t>
            </w:r>
          </w:p>
        </w:tc>
        <w:tc>
          <w:tcPr>
            <w:tcW w:w="104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21.3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“四上”企业期末从业人员</w:t>
            </w:r>
          </w:p>
        </w:tc>
        <w:tc>
          <w:tcPr>
            <w:tcW w:w="10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13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42502</w:t>
            </w:r>
          </w:p>
        </w:tc>
        <w:tc>
          <w:tcPr>
            <w:tcW w:w="14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59148 </w:t>
            </w:r>
          </w:p>
        </w:tc>
        <w:tc>
          <w:tcPr>
            <w:tcW w:w="104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39.2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现有外商及港澳台投资项目数</w:t>
            </w:r>
          </w:p>
        </w:tc>
        <w:tc>
          <w:tcPr>
            <w:tcW w:w="10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3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391</w:t>
            </w:r>
          </w:p>
        </w:tc>
        <w:tc>
          <w:tcPr>
            <w:tcW w:w="14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365 </w:t>
            </w:r>
          </w:p>
        </w:tc>
        <w:tc>
          <w:tcPr>
            <w:tcW w:w="104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-6.6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现有外商及港澳台投资项目投资总额</w:t>
            </w:r>
          </w:p>
        </w:tc>
        <w:tc>
          <w:tcPr>
            <w:tcW w:w="10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3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1179725 </w:t>
            </w:r>
          </w:p>
        </w:tc>
        <w:tc>
          <w:tcPr>
            <w:tcW w:w="14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1932279 </w:t>
            </w:r>
          </w:p>
        </w:tc>
        <w:tc>
          <w:tcPr>
            <w:tcW w:w="104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63.8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外方注册资本</w:t>
            </w:r>
          </w:p>
        </w:tc>
        <w:tc>
          <w:tcPr>
            <w:tcW w:w="10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3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816283 </w:t>
            </w:r>
          </w:p>
        </w:tc>
        <w:tc>
          <w:tcPr>
            <w:tcW w:w="14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1319112 </w:t>
            </w:r>
          </w:p>
        </w:tc>
        <w:tc>
          <w:tcPr>
            <w:tcW w:w="104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61.6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现有注册内资企业</w:t>
            </w:r>
          </w:p>
        </w:tc>
        <w:tc>
          <w:tcPr>
            <w:tcW w:w="10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3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14517</w:t>
            </w:r>
          </w:p>
        </w:tc>
        <w:tc>
          <w:tcPr>
            <w:tcW w:w="14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15653</w:t>
            </w:r>
          </w:p>
        </w:tc>
        <w:tc>
          <w:tcPr>
            <w:tcW w:w="104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7.8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现有内资企业注册资金</w:t>
            </w:r>
          </w:p>
        </w:tc>
        <w:tc>
          <w:tcPr>
            <w:tcW w:w="10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3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93786538</w:t>
            </w:r>
          </w:p>
        </w:tc>
        <w:tc>
          <w:tcPr>
            <w:tcW w:w="14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104963809 </w:t>
            </w:r>
          </w:p>
        </w:tc>
        <w:tc>
          <w:tcPr>
            <w:tcW w:w="104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11.9 </w:t>
            </w:r>
          </w:p>
        </w:tc>
      </w:tr>
    </w:tbl>
    <w:p>
      <w:pPr>
        <w:jc w:val="left"/>
        <w:rPr>
          <w:rFonts w:ascii="宋体" w:hAnsi="宋体"/>
        </w:rPr>
      </w:pPr>
      <w:r>
        <w:rPr>
          <w:rFonts w:hint="eastAsia" w:ascii="宋体" w:hAnsi="宋体"/>
        </w:rPr>
        <w:t>注：带“*”号指标绝对额按现价计算，增长速度按可比价格计算。</w:t>
      </w:r>
    </w:p>
    <w:p>
      <w:pPr>
        <w:spacing w:before="312" w:beforeLines="100"/>
        <w:ind w:left="-141" w:leftChars="-67" w:right="-764" w:rightChars="-364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 xml:space="preserve"> 南港工业区主要经济指标</w:t>
      </w:r>
    </w:p>
    <w:tbl>
      <w:tblPr>
        <w:tblStyle w:val="20"/>
        <w:tblW w:w="0" w:type="auto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94"/>
        <w:gridCol w:w="992"/>
        <w:gridCol w:w="1276"/>
        <w:gridCol w:w="1236"/>
        <w:gridCol w:w="1224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同比增长</w:t>
            </w:r>
          </w:p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（%）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7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地区生产总值</w:t>
            </w:r>
            <w:r>
              <w:rPr>
                <w:rFonts w:hint="eastAsia" w:ascii="宋体" w:hAnsi="宋体"/>
              </w:rPr>
              <w:t>*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1681092 </w:t>
            </w: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2454222 </w:t>
            </w: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29.6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固定资产投资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万元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-9.0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13" w:firstLineChars="89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基础设施及公建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102520</w:t>
            </w: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57433</w:t>
            </w: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-44.0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规模以上工业总产值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4113703 </w:t>
            </w: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7151277 </w:t>
            </w: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73.8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限额以上商品销售额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482779 </w:t>
            </w: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931981 </w:t>
            </w: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93.0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“四上”企业营业收入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4650360 </w:t>
            </w: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8374387 </w:t>
            </w: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80.1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“四上”企业期末从业人员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6685</w:t>
            </w: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7593 </w:t>
            </w: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13.6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现有外商及港澳台投资项目数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108</w:t>
            </w: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85 </w:t>
            </w: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-21.3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现有外商及港澳台投资项目投资总额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1180109 </w:t>
            </w: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1063843 </w:t>
            </w: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-9.9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37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13" w:firstLineChars="89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外方注册资本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461184 </w:t>
            </w: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411956 </w:t>
            </w: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-10.7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现有注册内资企业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1429</w:t>
            </w: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1135</w:t>
            </w: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-20.6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现有内资企业注册资金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31547386</w:t>
            </w: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30279744 </w:t>
            </w: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-4.0 </w:t>
            </w:r>
          </w:p>
        </w:tc>
      </w:tr>
    </w:tbl>
    <w:p>
      <w:pPr>
        <w:jc w:val="left"/>
        <w:rPr>
          <w:rFonts w:ascii="宋体" w:hAnsi="宋体"/>
        </w:rPr>
      </w:pPr>
      <w:r>
        <w:rPr>
          <w:rFonts w:hint="eastAsia" w:ascii="宋体" w:hAnsi="宋体"/>
        </w:rPr>
        <w:t>注：带“*”号指标绝对额按现价计算，增长速度按可比价格计算。</w:t>
      </w:r>
    </w:p>
    <w:p>
      <w:pPr>
        <w:spacing w:before="312" w:beforeLines="100"/>
        <w:ind w:left="-141" w:leftChars="-67" w:right="-197" w:rightChars="-94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西区主要经济指标</w:t>
      </w:r>
    </w:p>
    <w:tbl>
      <w:tblPr>
        <w:tblStyle w:val="20"/>
        <w:tblW w:w="0" w:type="auto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52"/>
        <w:gridCol w:w="1016"/>
        <w:gridCol w:w="1176"/>
        <w:gridCol w:w="1176"/>
        <w:gridCol w:w="1502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同比增长（%）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地区生产总值*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3040342 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3312598 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-3.5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固定资产投资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16.8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基础设施及公建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48628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22719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-53.3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规模以上工业总产值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17835221 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15351209 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-13.9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限额以上商品销售额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1893859 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2427924 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28.2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“四上”企业营业收入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19935618 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18370194 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-7.9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“四上”企业期末从业人员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55892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52946 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-5.3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现有外商及港澳台投资项目数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72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66 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-8.3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现有外商及港澳台投资项目投资总额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709014 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700356 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-1.2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外方注册资本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194763 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192990 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-0.9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现有注册内资企业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276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285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3.3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现有内资企业注册资金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1563007 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1739090 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11.3 </w:t>
            </w:r>
          </w:p>
        </w:tc>
      </w:tr>
    </w:tbl>
    <w:p>
      <w:pPr>
        <w:jc w:val="left"/>
        <w:rPr>
          <w:rFonts w:ascii="宋体" w:hAnsi="宋体"/>
        </w:rPr>
      </w:pPr>
      <w:r>
        <w:rPr>
          <w:rFonts w:hint="eastAsia" w:ascii="宋体" w:hAnsi="宋体"/>
        </w:rPr>
        <w:t>注：带“*”指标绝对额按现价计算，增长速度按可比价格计算。</w:t>
      </w:r>
    </w:p>
    <w:p>
      <w:pPr>
        <w:spacing w:before="312" w:beforeLines="100"/>
        <w:ind w:left="-141" w:leftChars="-67" w:right="-764" w:rightChars="-364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逸仙科学工业园主要经济指标</w:t>
      </w:r>
    </w:p>
    <w:tbl>
      <w:tblPr>
        <w:tblStyle w:val="20"/>
        <w:tblW w:w="0" w:type="auto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52"/>
        <w:gridCol w:w="1016"/>
        <w:gridCol w:w="1176"/>
        <w:gridCol w:w="1176"/>
        <w:gridCol w:w="1502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9" w:hRule="atLeast"/>
        </w:trPr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同比增长（%）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地区生产总值*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394138 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504940 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14.2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固定资产投资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152.8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基础设施及公建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247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133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-46.2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规模以上工业总产值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1131698 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1462375 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29.2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限额以上商品销售额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429096 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236362 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-44.9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“四上”企业营业收入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1614586 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1833900 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13.6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“四上”企业期末从业人员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8587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9349 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8.9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现有外商及港澳台投资项目数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25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26 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4.0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现有外商及港澳台投资项目投资总额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121942 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122942 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0.8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外方注册资本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41484 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42484 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2.4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现有注册内资企业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136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138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1.5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现有内资企业注册资金</w:t>
            </w:r>
          </w:p>
        </w:tc>
        <w:tc>
          <w:tcPr>
            <w:tcW w:w="10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161049 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170252 </w:t>
            </w:r>
          </w:p>
        </w:tc>
        <w:tc>
          <w:tcPr>
            <w:tcW w:w="150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5.7 </w:t>
            </w:r>
          </w:p>
        </w:tc>
      </w:tr>
    </w:tbl>
    <w:p>
      <w:pPr>
        <w:jc w:val="left"/>
        <w:rPr>
          <w:rFonts w:ascii="宋体" w:hAnsi="宋体"/>
        </w:rPr>
      </w:pPr>
      <w:r>
        <w:rPr>
          <w:rFonts w:hint="eastAsia" w:ascii="宋体" w:hAnsi="宋体"/>
        </w:rPr>
        <w:t>注：带“*”号指标绝对额按现价计算，增长速度按可比价格计算。</w:t>
      </w:r>
    </w:p>
    <w:p>
      <w:pPr>
        <w:spacing w:before="312" w:beforeLines="100"/>
        <w:ind w:left="-141" w:leftChars="-67" w:right="-764" w:rightChars="-364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微电子工业区主要经济指标</w:t>
      </w:r>
    </w:p>
    <w:tbl>
      <w:tblPr>
        <w:tblStyle w:val="20"/>
        <w:tblW w:w="0" w:type="auto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09"/>
        <w:gridCol w:w="1031"/>
        <w:gridCol w:w="1176"/>
        <w:gridCol w:w="1144"/>
        <w:gridCol w:w="1462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1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146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同比增长（%）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地区生产总值*</w:t>
            </w:r>
          </w:p>
        </w:tc>
        <w:tc>
          <w:tcPr>
            <w:tcW w:w="1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521110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612662 </w:t>
            </w:r>
          </w:p>
        </w:tc>
        <w:tc>
          <w:tcPr>
            <w:tcW w:w="146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3.9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固定资产投资</w:t>
            </w:r>
          </w:p>
        </w:tc>
        <w:tc>
          <w:tcPr>
            <w:tcW w:w="1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46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304.0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基础设施及公建</w:t>
            </w:r>
          </w:p>
        </w:tc>
        <w:tc>
          <w:tcPr>
            <w:tcW w:w="1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--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--</w:t>
            </w:r>
          </w:p>
        </w:tc>
        <w:tc>
          <w:tcPr>
            <w:tcW w:w="146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规模以上工业总产值</w:t>
            </w:r>
          </w:p>
        </w:tc>
        <w:tc>
          <w:tcPr>
            <w:tcW w:w="1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3317077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3580847 </w:t>
            </w:r>
          </w:p>
        </w:tc>
        <w:tc>
          <w:tcPr>
            <w:tcW w:w="146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8.0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限额以上商品销售额</w:t>
            </w:r>
          </w:p>
        </w:tc>
        <w:tc>
          <w:tcPr>
            <w:tcW w:w="1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3564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1708 </w:t>
            </w:r>
          </w:p>
        </w:tc>
        <w:tc>
          <w:tcPr>
            <w:tcW w:w="146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-52.1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“四上”企业营业收入</w:t>
            </w:r>
          </w:p>
        </w:tc>
        <w:tc>
          <w:tcPr>
            <w:tcW w:w="1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3278917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3626836 </w:t>
            </w:r>
          </w:p>
        </w:tc>
        <w:tc>
          <w:tcPr>
            <w:tcW w:w="146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10.6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“四上”企业期末从业人员</w:t>
            </w:r>
          </w:p>
        </w:tc>
        <w:tc>
          <w:tcPr>
            <w:tcW w:w="1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12392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12033 </w:t>
            </w:r>
          </w:p>
        </w:tc>
        <w:tc>
          <w:tcPr>
            <w:tcW w:w="146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-2.9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现有外商及港澳台投资项目数</w:t>
            </w:r>
          </w:p>
        </w:tc>
        <w:tc>
          <w:tcPr>
            <w:tcW w:w="1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30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26 </w:t>
            </w:r>
          </w:p>
        </w:tc>
        <w:tc>
          <w:tcPr>
            <w:tcW w:w="146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-13.3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现有外商及港澳台投资项目投资总额</w:t>
            </w:r>
          </w:p>
        </w:tc>
        <w:tc>
          <w:tcPr>
            <w:tcW w:w="1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173364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169095 </w:t>
            </w:r>
          </w:p>
        </w:tc>
        <w:tc>
          <w:tcPr>
            <w:tcW w:w="146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-2.5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外方注册资本</w:t>
            </w:r>
          </w:p>
        </w:tc>
        <w:tc>
          <w:tcPr>
            <w:tcW w:w="1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58674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57160 </w:t>
            </w:r>
          </w:p>
        </w:tc>
        <w:tc>
          <w:tcPr>
            <w:tcW w:w="146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-2.6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现有注册内资企业</w:t>
            </w:r>
          </w:p>
        </w:tc>
        <w:tc>
          <w:tcPr>
            <w:tcW w:w="1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130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147</w:t>
            </w:r>
          </w:p>
        </w:tc>
        <w:tc>
          <w:tcPr>
            <w:tcW w:w="146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13.1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现有内资企业注册资金</w:t>
            </w:r>
          </w:p>
        </w:tc>
        <w:tc>
          <w:tcPr>
            <w:tcW w:w="1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210352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233347 </w:t>
            </w:r>
          </w:p>
        </w:tc>
        <w:tc>
          <w:tcPr>
            <w:tcW w:w="146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10.9 </w:t>
            </w:r>
          </w:p>
        </w:tc>
      </w:tr>
    </w:tbl>
    <w:p>
      <w:pPr>
        <w:jc w:val="left"/>
        <w:rPr>
          <w:rFonts w:ascii="宋体" w:hAnsi="宋体"/>
        </w:rPr>
      </w:pPr>
      <w:r>
        <w:rPr>
          <w:rFonts w:hint="eastAsia" w:ascii="宋体" w:hAnsi="宋体"/>
        </w:rPr>
        <w:t>注：带“*”号指标绝对额按现价计算，增长速度按可比价格计算。</w:t>
      </w:r>
    </w:p>
    <w:p>
      <w:pPr>
        <w:spacing w:before="312" w:beforeLines="100"/>
        <w:ind w:left="-141" w:leftChars="-67" w:right="-764" w:rightChars="-364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现代产业区主要经济指标</w:t>
      </w:r>
    </w:p>
    <w:tbl>
      <w:tblPr>
        <w:tblStyle w:val="20"/>
        <w:tblW w:w="0" w:type="auto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08"/>
        <w:gridCol w:w="1081"/>
        <w:gridCol w:w="1128"/>
        <w:gridCol w:w="1144"/>
        <w:gridCol w:w="1461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同比增长（%）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地区生产总值*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180166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192497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-5.3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固定资产投资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54.8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基础设施及公建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2372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16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-99.3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规模以上工业总产值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1197133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1223614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2.2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限额以上商品销售额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40726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49099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20.6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“四上”企业营业收入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1479008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1533087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3.7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“四上”企业期末从业人员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4666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4494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-3.7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现有外商及港澳台投资项目数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35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35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0.0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现有外商及港澳台投资项目投资总额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122010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134133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9.9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外方注册资本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51627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59977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16.2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现有注册内资企业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9</w:t>
            </w:r>
            <w:r>
              <w:rPr>
                <w:rFonts w:hint="eastAsia" w:ascii="宋体" w:hAnsi="宋体"/>
                <w:sz w:val="24"/>
                <w:szCs w:val="24"/>
              </w:rPr>
              <w:t>1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104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14.3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现有内资企业注册资金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530749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563894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6.2 </w:t>
            </w:r>
          </w:p>
        </w:tc>
      </w:tr>
    </w:tbl>
    <w:p>
      <w:pPr>
        <w:jc w:val="left"/>
        <w:rPr>
          <w:rFonts w:ascii="宋体" w:hAnsi="宋体"/>
        </w:rPr>
      </w:pPr>
      <w:r>
        <w:rPr>
          <w:rFonts w:hint="eastAsia" w:ascii="宋体" w:hAnsi="宋体"/>
        </w:rPr>
        <w:t>注：带“*”号指标绝对额按现价计算，增长速度按可比价格计算。</w:t>
      </w:r>
    </w:p>
    <w:p>
      <w:pPr>
        <w:spacing w:before="312" w:beforeLines="100"/>
        <w:ind w:left="-141" w:leftChars="-67" w:right="-764" w:rightChars="-364"/>
        <w:jc w:val="center"/>
        <w:rPr>
          <w:rFonts w:ascii="宋体" w:hAnsi="宋体"/>
          <w:b/>
          <w:bCs/>
          <w:sz w:val="32"/>
          <w:szCs w:val="32"/>
        </w:rPr>
      </w:pPr>
    </w:p>
    <w:p>
      <w:pPr>
        <w:spacing w:before="312" w:beforeLines="100"/>
        <w:ind w:left="-141" w:leftChars="-67" w:right="-764" w:rightChars="-364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中区主要经济指标</w:t>
      </w:r>
    </w:p>
    <w:tbl>
      <w:tblPr>
        <w:tblStyle w:val="20"/>
        <w:tblW w:w="0" w:type="auto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08"/>
        <w:gridCol w:w="1081"/>
        <w:gridCol w:w="1128"/>
        <w:gridCol w:w="1144"/>
        <w:gridCol w:w="1461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同比增长（%）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地区生产总值*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40839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50482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12.2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固定资产投资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20.6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基础设施及公建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4154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6042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45.5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规模以上工业总产值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266269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382618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43.7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限额以上商品销售额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184142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242873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31.9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“四上”企业营业收入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477824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623687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30.5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“四上”企业期末从业人员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1980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2096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5.9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现有外商及港澳台投资项目数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7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6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-14.3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现有外商及港澳台投资项目投资总额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20858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20773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-0.4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外方注册资本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8774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8755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-0.2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现有注册内资企业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185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185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0.0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现有内资企业注册资金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622442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628733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1.0 </w:t>
            </w:r>
          </w:p>
        </w:tc>
      </w:tr>
    </w:tbl>
    <w:p>
      <w:pPr>
        <w:jc w:val="left"/>
        <w:rPr>
          <w:rFonts w:ascii="宋体" w:hAnsi="宋体"/>
        </w:rPr>
      </w:pPr>
      <w:r>
        <w:rPr>
          <w:rFonts w:hint="eastAsia" w:ascii="宋体" w:hAnsi="宋体"/>
        </w:rPr>
        <w:t>注：带“*”号指标绝对额按现价计算，增长速度按可比价格计算。</w:t>
      </w:r>
    </w:p>
    <w:p>
      <w:pPr>
        <w:spacing w:before="312" w:beforeLines="100"/>
        <w:ind w:left="-141" w:leftChars="-67" w:right="-764" w:rightChars="-364"/>
        <w:jc w:val="center"/>
        <w:rPr>
          <w:rFonts w:ascii="宋体" w:hAnsi="宋体"/>
          <w:b/>
          <w:bCs/>
          <w:sz w:val="32"/>
          <w:szCs w:val="32"/>
        </w:rPr>
      </w:pPr>
    </w:p>
    <w:p>
      <w:pPr>
        <w:spacing w:before="312" w:beforeLines="100"/>
        <w:ind w:left="-141" w:leftChars="-67" w:right="-764" w:rightChars="-364"/>
        <w:jc w:val="center"/>
        <w:rPr>
          <w:rFonts w:ascii="宋体" w:hAnsi="宋体"/>
          <w:b/>
          <w:bCs/>
          <w:sz w:val="32"/>
          <w:szCs w:val="32"/>
        </w:rPr>
      </w:pPr>
    </w:p>
    <w:p>
      <w:pPr>
        <w:spacing w:before="312" w:beforeLines="100"/>
        <w:ind w:left="-141" w:leftChars="-67" w:right="-764" w:rightChars="-364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一汽大众华北</w:t>
      </w:r>
      <w:r>
        <w:rPr>
          <w:rFonts w:hint="eastAsia" w:ascii="宋体" w:hAnsi="宋体"/>
          <w:b/>
          <w:bCs/>
          <w:sz w:val="32"/>
          <w:szCs w:val="32"/>
          <w:lang w:eastAsia="zh-CN"/>
        </w:rPr>
        <w:t>工业园</w:t>
      </w:r>
      <w:r>
        <w:rPr>
          <w:rFonts w:hint="eastAsia" w:ascii="宋体" w:hAnsi="宋体"/>
          <w:b/>
          <w:bCs/>
          <w:sz w:val="32"/>
          <w:szCs w:val="32"/>
        </w:rPr>
        <w:t>主要经济指标</w:t>
      </w:r>
    </w:p>
    <w:tbl>
      <w:tblPr>
        <w:tblStyle w:val="20"/>
        <w:tblW w:w="0" w:type="auto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08"/>
        <w:gridCol w:w="1081"/>
        <w:gridCol w:w="1128"/>
        <w:gridCol w:w="1144"/>
        <w:gridCol w:w="1461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同比增长（%）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地区生产总值*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54502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57916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-1.5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固定资产投资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-37.0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基础设施及公建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36252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22825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-37.0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规模以上工业总产值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195712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199047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1.7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限额以上商品销售额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--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--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“四上”企业营业收入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379072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359843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-5.1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“四上”企业期末从业人员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1267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1315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3.8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现有外商及港澳台投资项目数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--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--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现有外商及港澳台投资项目投资总额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--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--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外方注册资本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--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--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现有注册内资企业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22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144.4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现有内资企业注册资金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10500 </w:t>
            </w:r>
          </w:p>
        </w:tc>
        <w:tc>
          <w:tcPr>
            <w:tcW w:w="1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29400 </w:t>
            </w:r>
          </w:p>
        </w:tc>
        <w:tc>
          <w:tcPr>
            <w:tcW w:w="14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180.0 </w:t>
            </w:r>
          </w:p>
        </w:tc>
      </w:tr>
    </w:tbl>
    <w:p>
      <w:pPr>
        <w:jc w:val="left"/>
        <w:rPr>
          <w:rFonts w:ascii="宋体" w:hAnsi="宋体"/>
        </w:rPr>
      </w:pPr>
      <w:r>
        <w:rPr>
          <w:rFonts w:hint="eastAsia" w:ascii="宋体" w:hAnsi="宋体"/>
        </w:rPr>
        <w:t>注：带“*”号指标绝对额按现价计算，增长速度按可比价格计算。</w:t>
      </w:r>
    </w:p>
    <w:p>
      <w:pPr>
        <w:spacing w:before="312" w:beforeLines="100"/>
        <w:ind w:left="-141" w:leftChars="-67" w:right="-764" w:rightChars="-364"/>
        <w:jc w:val="center"/>
        <w:rPr>
          <w:rFonts w:ascii="宋体" w:hAnsi="宋体"/>
          <w:b/>
          <w:bCs/>
          <w:sz w:val="32"/>
          <w:szCs w:val="32"/>
        </w:rPr>
      </w:pPr>
    </w:p>
    <w:p>
      <w:pPr>
        <w:spacing w:before="312" w:beforeLines="100"/>
        <w:ind w:left="-141" w:leftChars="-67" w:right="-764" w:rightChars="-364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滨海中关村主要经济指标</w:t>
      </w:r>
    </w:p>
    <w:tbl>
      <w:tblPr>
        <w:tblStyle w:val="20"/>
        <w:tblW w:w="0" w:type="auto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08"/>
        <w:gridCol w:w="1081"/>
        <w:gridCol w:w="1128"/>
        <w:gridCol w:w="1292"/>
        <w:gridCol w:w="1313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1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13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同比增长（%）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地区生产总值*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81225 </w:t>
            </w:r>
          </w:p>
        </w:tc>
        <w:tc>
          <w:tcPr>
            <w:tcW w:w="1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95277 </w:t>
            </w:r>
          </w:p>
        </w:tc>
        <w:tc>
          <w:tcPr>
            <w:tcW w:w="13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8.2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固定资产投资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3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-7.8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基础设施及公建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--</w:t>
            </w:r>
          </w:p>
        </w:tc>
        <w:tc>
          <w:tcPr>
            <w:tcW w:w="1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--</w:t>
            </w:r>
          </w:p>
        </w:tc>
        <w:tc>
          <w:tcPr>
            <w:tcW w:w="13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--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规模以上工业总产值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114523 </w:t>
            </w:r>
          </w:p>
        </w:tc>
        <w:tc>
          <w:tcPr>
            <w:tcW w:w="1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133912 </w:t>
            </w:r>
          </w:p>
        </w:tc>
        <w:tc>
          <w:tcPr>
            <w:tcW w:w="13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16.9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限额以上商品销售额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189350 </w:t>
            </w:r>
          </w:p>
        </w:tc>
        <w:tc>
          <w:tcPr>
            <w:tcW w:w="1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1009112 </w:t>
            </w:r>
          </w:p>
        </w:tc>
        <w:tc>
          <w:tcPr>
            <w:tcW w:w="13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432.9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“四上”企业营业收入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639602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 </w:t>
            </w:r>
          </w:p>
        </w:tc>
        <w:tc>
          <w:tcPr>
            <w:tcW w:w="1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1397617 </w:t>
            </w:r>
          </w:p>
        </w:tc>
        <w:tc>
          <w:tcPr>
            <w:tcW w:w="13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118.5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“四上”企业期末从业人员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4507</w:t>
            </w:r>
          </w:p>
        </w:tc>
        <w:tc>
          <w:tcPr>
            <w:tcW w:w="1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6084 </w:t>
            </w:r>
          </w:p>
        </w:tc>
        <w:tc>
          <w:tcPr>
            <w:tcW w:w="13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35.0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" w:hRule="atLeast"/>
        </w:trPr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现有外商及港澳台投资项目数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42</w:t>
            </w:r>
          </w:p>
        </w:tc>
        <w:tc>
          <w:tcPr>
            <w:tcW w:w="1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57 </w:t>
            </w:r>
          </w:p>
        </w:tc>
        <w:tc>
          <w:tcPr>
            <w:tcW w:w="13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35.7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现有外商及港澳台投资项目投资总额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宋体" w:hAnsi="宋体"/>
                <w:sz w:val="24"/>
                <w:szCs w:val="24"/>
              </w:rPr>
              <w:t>134948</w:t>
            </w: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 xml:space="preserve"> </w:t>
            </w:r>
          </w:p>
        </w:tc>
        <w:tc>
          <w:tcPr>
            <w:tcW w:w="1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153571 </w:t>
            </w:r>
          </w:p>
        </w:tc>
        <w:tc>
          <w:tcPr>
            <w:tcW w:w="13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13.8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外方注册资本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万美元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57530 </w:t>
            </w:r>
          </w:p>
        </w:tc>
        <w:tc>
          <w:tcPr>
            <w:tcW w:w="1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76967 </w:t>
            </w:r>
          </w:p>
        </w:tc>
        <w:tc>
          <w:tcPr>
            <w:tcW w:w="13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33.8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现有注册内资企业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2193</w:t>
            </w:r>
          </w:p>
        </w:tc>
        <w:tc>
          <w:tcPr>
            <w:tcW w:w="1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3228</w:t>
            </w:r>
          </w:p>
        </w:tc>
        <w:tc>
          <w:tcPr>
            <w:tcW w:w="13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47.2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现有内资企业注册资金</w:t>
            </w:r>
          </w:p>
        </w:tc>
        <w:tc>
          <w:tcPr>
            <w:tcW w:w="10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1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8692502 </w:t>
            </w:r>
          </w:p>
        </w:tc>
        <w:tc>
          <w:tcPr>
            <w:tcW w:w="12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15767543 </w:t>
            </w:r>
          </w:p>
        </w:tc>
        <w:tc>
          <w:tcPr>
            <w:tcW w:w="131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bottom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81.4 </w:t>
            </w:r>
          </w:p>
        </w:tc>
      </w:tr>
    </w:tbl>
    <w:p>
      <w:pPr>
        <w:jc w:val="left"/>
        <w:rPr>
          <w:rFonts w:ascii="宋体" w:hAnsi="宋体"/>
        </w:rPr>
      </w:pPr>
      <w:r>
        <w:rPr>
          <w:rFonts w:hint="eastAsia" w:ascii="宋体" w:hAnsi="宋体"/>
        </w:rPr>
        <w:t>注：带“*”号指标绝对额按现价计算，增长速度按可比价格计算。</w:t>
      </w:r>
    </w:p>
    <w:p>
      <w:pPr>
        <w:spacing w:before="312" w:beforeLines="100"/>
        <w:ind w:right="-765"/>
        <w:jc w:val="center"/>
        <w:rPr>
          <w:rFonts w:ascii="宋体" w:hAnsi="宋体" w:cs="宋体"/>
          <w:b/>
          <w:sz w:val="32"/>
        </w:rPr>
      </w:pPr>
    </w:p>
    <w:p>
      <w:pPr>
        <w:spacing w:before="312" w:beforeLines="100"/>
        <w:ind w:right="-765"/>
        <w:jc w:val="center"/>
        <w:rPr>
          <w:rFonts w:ascii="宋体" w:hAnsi="宋体" w:cs="宋体"/>
          <w:b/>
          <w:sz w:val="32"/>
        </w:rPr>
      </w:pPr>
    </w:p>
    <w:p>
      <w:pPr>
        <w:spacing w:before="312" w:beforeLines="100"/>
        <w:ind w:right="-765"/>
        <w:rPr>
          <w:rFonts w:ascii="宋体" w:hAnsi="宋体" w:cs="宋体"/>
          <w:b/>
          <w:sz w:val="32"/>
        </w:rPr>
      </w:pPr>
    </w:p>
    <w:p>
      <w:pPr>
        <w:spacing w:before="312" w:beforeLines="100"/>
        <w:ind w:right="-765"/>
        <w:jc w:val="center"/>
        <w:rPr>
          <w:rFonts w:ascii="宋体" w:hAnsi="宋体" w:cs="宋体"/>
          <w:b/>
          <w:sz w:val="32"/>
        </w:rPr>
      </w:pPr>
      <w:r>
        <w:rPr>
          <w:rFonts w:hint="eastAsia" w:ascii="宋体" w:hAnsi="宋体" w:cs="宋体"/>
          <w:b/>
          <w:sz w:val="32"/>
        </w:rPr>
        <w:t>工业企业指标</w:t>
      </w:r>
    </w:p>
    <w:p>
      <w:pPr>
        <w:ind w:right="-154"/>
        <w:jc w:val="right"/>
        <w:rPr>
          <w:rFonts w:ascii="宋体" w:hAnsi="宋体" w:cs="宋体"/>
        </w:rPr>
      </w:pPr>
      <w:r>
        <w:rPr>
          <w:rFonts w:hint="eastAsia" w:ascii="宋体" w:hAnsi="宋体" w:cs="宋体"/>
        </w:rPr>
        <w:t>单位：万元</w:t>
      </w:r>
    </w:p>
    <w:tbl>
      <w:tblPr>
        <w:tblStyle w:val="20"/>
        <w:tblW w:w="8789" w:type="dxa"/>
        <w:tblInd w:w="0" w:type="dxa"/>
        <w:tblBorders>
          <w:top w:val="single" w:color="auto" w:sz="6" w:space="0"/>
          <w:left w:val="none" w:color="auto" w:sz="6" w:space="0"/>
          <w:bottom w:val="single" w:color="auto" w:sz="6" w:space="0"/>
          <w:right w:val="non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21"/>
        <w:gridCol w:w="1582"/>
        <w:gridCol w:w="1743"/>
        <w:gridCol w:w="1743"/>
      </w:tblGrid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指标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2020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ind w:left="-80" w:leftChars="-38" w:right="-101" w:rightChars="-48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2021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ind w:left="-80" w:leftChars="-38" w:right="-101" w:rightChars="-48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同比增长（%）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工业增加值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10244784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11303022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6.6 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规模以上工业总产值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51131661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53997353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5.6</w:t>
            </w:r>
            <w:r>
              <w:rPr>
                <w:rFonts w:hint="eastAsia"/>
              </w:rPr>
              <w:t xml:space="preserve"> 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按经济类型分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</w:rPr>
            </w:pP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 w:cs="宋体"/>
                <w:sz w:val="24"/>
              </w:rPr>
            </w:pP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内资企业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10809611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12265716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13.5 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外商及港澳台投资企业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40322050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41731637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3.5 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按重点行业分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</w:rPr>
            </w:pP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 w:cs="宋体"/>
                <w:sz w:val="24"/>
              </w:rPr>
            </w:pP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汽车和装备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23032642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21649679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-6.0 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电子信息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11676011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11060072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-5.3 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化工新材料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7140283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8551554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19.8 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医药健康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5098107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6654191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30.5 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按高新技术企业分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高新技术企业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12217762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11865761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-2.9 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高技术制造业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15466458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16491851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6.6 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战略新兴产业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23813430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24312861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2.1 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按区域分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</w:rPr>
            </w:pP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 w:cs="宋体"/>
                <w:sz w:val="24"/>
              </w:rPr>
            </w:pP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       东区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22756719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24385771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7.2 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       西区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17835221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15351209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-13.9 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       南港工业区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4113703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7151277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73.8 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       微电子工业区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3317077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3580847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8.0 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       逸仙科学工业园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1131698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1462375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29.2 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       现代产业园区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1197133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1223614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2.2 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       中区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266269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382618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43.7 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       一汽大众华北工业园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195712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199047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1.7 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       滨海中关村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114523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133912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16.9 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       中心商务区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203607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126683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-37.8 </w:t>
            </w:r>
          </w:p>
        </w:tc>
      </w:tr>
      <w:tr>
        <w:tblPrEx>
          <w:tblBorders>
            <w:top w:val="single" w:color="auto" w:sz="6" w:space="0"/>
            <w:left w:val="none" w:color="auto" w:sz="6" w:space="0"/>
            <w:bottom w:val="single" w:color="auto" w:sz="6" w:space="0"/>
            <w:right w:val="non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37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规模以上工业销售产值</w:t>
            </w:r>
          </w:p>
        </w:tc>
        <w:tc>
          <w:tcPr>
            <w:tcW w:w="15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51016405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53447633 </w:t>
            </w:r>
          </w:p>
        </w:tc>
        <w:tc>
          <w:tcPr>
            <w:tcW w:w="17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4.8 </w:t>
            </w:r>
          </w:p>
        </w:tc>
      </w:tr>
    </w:tbl>
    <w:p>
      <w:pPr>
        <w:rPr>
          <w:rFonts w:ascii="宋体" w:hAnsi="宋体" w:cs="宋体"/>
        </w:rPr>
      </w:pPr>
      <w:r>
        <w:rPr>
          <w:rFonts w:hint="eastAsia" w:ascii="宋体" w:hAnsi="宋体" w:cs="宋体"/>
        </w:rPr>
        <w:t>注：工业增加值“同比增长%”按可比口径计算。</w:t>
      </w:r>
    </w:p>
    <w:p>
      <w:pPr>
        <w:spacing w:before="312" w:beforeLines="100"/>
        <w:ind w:right="505" w:firstLine="720"/>
        <w:jc w:val="center"/>
        <w:rPr>
          <w:rFonts w:ascii="宋体" w:hAnsi="宋体"/>
          <w:b/>
          <w:sz w:val="32"/>
        </w:rPr>
      </w:pPr>
      <w:r>
        <w:rPr>
          <w:rFonts w:hint="eastAsia" w:ascii="宋体" w:hAnsi="宋体"/>
          <w:b/>
          <w:sz w:val="32"/>
        </w:rPr>
        <w:t>规模以上工业企业财务指标</w:t>
      </w:r>
    </w:p>
    <w:p>
      <w:pPr>
        <w:ind w:right="26" w:firstLine="720"/>
        <w:jc w:val="right"/>
        <w:rPr>
          <w:rFonts w:ascii="宋体" w:hAnsi="宋体"/>
        </w:rPr>
      </w:pPr>
      <w:r>
        <w:rPr>
          <w:rFonts w:hint="eastAsia" w:ascii="宋体" w:hAnsi="宋体"/>
        </w:rPr>
        <w:t>单位：万元</w:t>
      </w:r>
    </w:p>
    <w:tbl>
      <w:tblPr>
        <w:tblStyle w:val="20"/>
        <w:tblW w:w="0" w:type="auto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none" w:color="auto" w:sz="0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6"/>
        <w:gridCol w:w="1626"/>
        <w:gridCol w:w="1626"/>
        <w:gridCol w:w="1894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337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16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16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1894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同比增长（%）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337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营业收入</w:t>
            </w:r>
          </w:p>
        </w:tc>
        <w:tc>
          <w:tcPr>
            <w:tcW w:w="162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52648362</w:t>
            </w:r>
          </w:p>
        </w:tc>
        <w:tc>
          <w:tcPr>
            <w:tcW w:w="162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56540869</w:t>
            </w:r>
          </w:p>
        </w:tc>
        <w:tc>
          <w:tcPr>
            <w:tcW w:w="1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7.4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337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利润总额</w:t>
            </w:r>
          </w:p>
        </w:tc>
        <w:tc>
          <w:tcPr>
            <w:tcW w:w="162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3174515</w:t>
            </w:r>
          </w:p>
        </w:tc>
        <w:tc>
          <w:tcPr>
            <w:tcW w:w="162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3781523</w:t>
            </w:r>
          </w:p>
        </w:tc>
        <w:tc>
          <w:tcPr>
            <w:tcW w:w="1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19.1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337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营业税金及附加</w:t>
            </w:r>
          </w:p>
        </w:tc>
        <w:tc>
          <w:tcPr>
            <w:tcW w:w="162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1220713</w:t>
            </w:r>
          </w:p>
        </w:tc>
        <w:tc>
          <w:tcPr>
            <w:tcW w:w="162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1047979</w:t>
            </w:r>
          </w:p>
        </w:tc>
        <w:tc>
          <w:tcPr>
            <w:tcW w:w="1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-14.2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337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应交增值税</w:t>
            </w:r>
          </w:p>
        </w:tc>
        <w:tc>
          <w:tcPr>
            <w:tcW w:w="162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774096</w:t>
            </w:r>
          </w:p>
        </w:tc>
        <w:tc>
          <w:tcPr>
            <w:tcW w:w="162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753304</w:t>
            </w:r>
          </w:p>
        </w:tc>
        <w:tc>
          <w:tcPr>
            <w:tcW w:w="1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-2.7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337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负债合计</w:t>
            </w:r>
          </w:p>
        </w:tc>
        <w:tc>
          <w:tcPr>
            <w:tcW w:w="162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23263608</w:t>
            </w:r>
          </w:p>
        </w:tc>
        <w:tc>
          <w:tcPr>
            <w:tcW w:w="162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24551869</w:t>
            </w:r>
          </w:p>
        </w:tc>
        <w:tc>
          <w:tcPr>
            <w:tcW w:w="1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5.5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</w:trPr>
        <w:tc>
          <w:tcPr>
            <w:tcW w:w="337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资产总计</w:t>
            </w:r>
          </w:p>
        </w:tc>
        <w:tc>
          <w:tcPr>
            <w:tcW w:w="162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47867757</w:t>
            </w:r>
          </w:p>
        </w:tc>
        <w:tc>
          <w:tcPr>
            <w:tcW w:w="162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51643281</w:t>
            </w:r>
          </w:p>
        </w:tc>
        <w:tc>
          <w:tcPr>
            <w:tcW w:w="1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7.9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337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年末存货</w:t>
            </w:r>
          </w:p>
        </w:tc>
        <w:tc>
          <w:tcPr>
            <w:tcW w:w="162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5965140</w:t>
            </w:r>
          </w:p>
        </w:tc>
        <w:tc>
          <w:tcPr>
            <w:tcW w:w="162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6952335</w:t>
            </w:r>
          </w:p>
        </w:tc>
        <w:tc>
          <w:tcPr>
            <w:tcW w:w="1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16.5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337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产成品</w:t>
            </w:r>
          </w:p>
        </w:tc>
        <w:tc>
          <w:tcPr>
            <w:tcW w:w="162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1896938</w:t>
            </w:r>
          </w:p>
        </w:tc>
        <w:tc>
          <w:tcPr>
            <w:tcW w:w="162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2290563</w:t>
            </w:r>
          </w:p>
        </w:tc>
        <w:tc>
          <w:tcPr>
            <w:tcW w:w="1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20.8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337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应收票据及应收账款</w:t>
            </w:r>
          </w:p>
        </w:tc>
        <w:tc>
          <w:tcPr>
            <w:tcW w:w="162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7603051</w:t>
            </w:r>
          </w:p>
        </w:tc>
        <w:tc>
          <w:tcPr>
            <w:tcW w:w="162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7804731</w:t>
            </w:r>
          </w:p>
        </w:tc>
        <w:tc>
          <w:tcPr>
            <w:tcW w:w="1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2.7</w:t>
            </w:r>
          </w:p>
        </w:tc>
      </w:tr>
    </w:tbl>
    <w:p>
      <w:pPr>
        <w:spacing w:before="312" w:beforeLines="100"/>
        <w:ind w:left="-283" w:leftChars="-135" w:right="-482"/>
        <w:jc w:val="center"/>
        <w:rPr>
          <w:rFonts w:ascii="宋体" w:hAnsi="宋体"/>
          <w:b/>
          <w:sz w:val="32"/>
        </w:rPr>
      </w:pPr>
    </w:p>
    <w:p>
      <w:pPr>
        <w:spacing w:before="312" w:beforeLines="100"/>
        <w:ind w:left="-283" w:leftChars="-135" w:right="-482"/>
        <w:jc w:val="center"/>
        <w:rPr>
          <w:rFonts w:ascii="宋体" w:hAnsi="宋体"/>
          <w:b/>
          <w:sz w:val="32"/>
        </w:rPr>
      </w:pPr>
      <w:r>
        <w:rPr>
          <w:rFonts w:hint="eastAsia" w:ascii="宋体" w:hAnsi="宋体"/>
          <w:b/>
          <w:sz w:val="32"/>
        </w:rPr>
        <w:t>规模以上工业企业经济效益指标</w:t>
      </w:r>
    </w:p>
    <w:tbl>
      <w:tblPr>
        <w:tblStyle w:val="20"/>
        <w:tblW w:w="0" w:type="auto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none" w:color="auto" w:sz="0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36"/>
        <w:gridCol w:w="1316"/>
        <w:gridCol w:w="1256"/>
        <w:gridCol w:w="1256"/>
        <w:gridCol w:w="1958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273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131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</w:t>
            </w:r>
          </w:p>
        </w:tc>
        <w:tc>
          <w:tcPr>
            <w:tcW w:w="125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125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1958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同比增减百分点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273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经济效益综合指数</w:t>
            </w:r>
          </w:p>
        </w:tc>
        <w:tc>
          <w:tcPr>
            <w:tcW w:w="131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5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454.1 </w:t>
            </w:r>
          </w:p>
        </w:tc>
        <w:tc>
          <w:tcPr>
            <w:tcW w:w="125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472.2 </w:t>
            </w:r>
          </w:p>
        </w:tc>
        <w:tc>
          <w:tcPr>
            <w:tcW w:w="19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18.2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273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总资产贡献率</w:t>
            </w:r>
          </w:p>
        </w:tc>
        <w:tc>
          <w:tcPr>
            <w:tcW w:w="131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%</w:t>
            </w:r>
          </w:p>
        </w:tc>
        <w:tc>
          <w:tcPr>
            <w:tcW w:w="125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bidi="ar"/>
              </w:rPr>
              <w:t>11.4</w:t>
            </w:r>
          </w:p>
        </w:tc>
        <w:tc>
          <w:tcPr>
            <w:tcW w:w="125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11.2 </w:t>
            </w:r>
          </w:p>
        </w:tc>
        <w:tc>
          <w:tcPr>
            <w:tcW w:w="19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-0.2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273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资本保值增值率</w:t>
            </w:r>
          </w:p>
        </w:tc>
        <w:tc>
          <w:tcPr>
            <w:tcW w:w="131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%</w:t>
            </w:r>
          </w:p>
        </w:tc>
        <w:tc>
          <w:tcPr>
            <w:tcW w:w="125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bidi="ar"/>
              </w:rPr>
              <w:t>100.1</w:t>
            </w:r>
          </w:p>
        </w:tc>
        <w:tc>
          <w:tcPr>
            <w:tcW w:w="125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110.1 </w:t>
            </w:r>
          </w:p>
        </w:tc>
        <w:tc>
          <w:tcPr>
            <w:tcW w:w="19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10.0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273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资产负债率</w:t>
            </w:r>
          </w:p>
        </w:tc>
        <w:tc>
          <w:tcPr>
            <w:tcW w:w="131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%</w:t>
            </w:r>
          </w:p>
        </w:tc>
        <w:tc>
          <w:tcPr>
            <w:tcW w:w="125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bidi="ar"/>
              </w:rPr>
              <w:t>49.1</w:t>
            </w:r>
          </w:p>
        </w:tc>
        <w:tc>
          <w:tcPr>
            <w:tcW w:w="125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47.5 </w:t>
            </w:r>
          </w:p>
        </w:tc>
        <w:tc>
          <w:tcPr>
            <w:tcW w:w="19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-1.6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273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流动资产周转次数</w:t>
            </w:r>
          </w:p>
        </w:tc>
        <w:tc>
          <w:tcPr>
            <w:tcW w:w="131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次</w:t>
            </w:r>
          </w:p>
        </w:tc>
        <w:tc>
          <w:tcPr>
            <w:tcW w:w="125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bidi="ar"/>
              </w:rPr>
              <w:t>2.3</w:t>
            </w:r>
          </w:p>
        </w:tc>
        <w:tc>
          <w:tcPr>
            <w:tcW w:w="125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2.0 </w:t>
            </w:r>
          </w:p>
        </w:tc>
        <w:tc>
          <w:tcPr>
            <w:tcW w:w="19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-13.6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273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成本费用利润率</w:t>
            </w:r>
          </w:p>
        </w:tc>
        <w:tc>
          <w:tcPr>
            <w:tcW w:w="131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%</w:t>
            </w:r>
          </w:p>
        </w:tc>
        <w:tc>
          <w:tcPr>
            <w:tcW w:w="125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bidi="ar"/>
              </w:rPr>
              <w:t>6.6</w:t>
            </w:r>
          </w:p>
        </w:tc>
        <w:tc>
          <w:tcPr>
            <w:tcW w:w="125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6.8 </w:t>
            </w:r>
          </w:p>
        </w:tc>
        <w:tc>
          <w:tcPr>
            <w:tcW w:w="19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0.2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273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产销率</w:t>
            </w:r>
          </w:p>
        </w:tc>
        <w:tc>
          <w:tcPr>
            <w:tcW w:w="131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%</w:t>
            </w:r>
          </w:p>
        </w:tc>
        <w:tc>
          <w:tcPr>
            <w:tcW w:w="125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bidi="ar"/>
              </w:rPr>
              <w:t>99.8</w:t>
            </w:r>
          </w:p>
        </w:tc>
        <w:tc>
          <w:tcPr>
            <w:tcW w:w="125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99.0 </w:t>
            </w:r>
          </w:p>
        </w:tc>
        <w:tc>
          <w:tcPr>
            <w:tcW w:w="19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-0.8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273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营业收入利润率</w:t>
            </w:r>
          </w:p>
        </w:tc>
        <w:tc>
          <w:tcPr>
            <w:tcW w:w="131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%</w:t>
            </w:r>
          </w:p>
        </w:tc>
        <w:tc>
          <w:tcPr>
            <w:tcW w:w="125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bidi="ar"/>
              </w:rPr>
              <w:t>6.1</w:t>
            </w:r>
          </w:p>
        </w:tc>
        <w:tc>
          <w:tcPr>
            <w:tcW w:w="125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6.7 </w:t>
            </w:r>
          </w:p>
        </w:tc>
        <w:tc>
          <w:tcPr>
            <w:tcW w:w="19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0.6 </w:t>
            </w:r>
          </w:p>
        </w:tc>
      </w:tr>
    </w:tbl>
    <w:p>
      <w:pPr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注：流动资产周转次数指标“同比增减百分点”为“同比增长%”。</w:t>
      </w:r>
    </w:p>
    <w:p>
      <w:pPr>
        <w:spacing w:before="312" w:beforeLines="100"/>
        <w:ind w:left="-424" w:leftChars="-202" w:right="-482"/>
        <w:jc w:val="center"/>
        <w:rPr>
          <w:rFonts w:ascii="宋体" w:hAnsi="宋体"/>
          <w:b/>
          <w:sz w:val="32"/>
        </w:rPr>
      </w:pPr>
      <w:r>
        <w:rPr>
          <w:rFonts w:hint="eastAsia" w:ascii="宋体" w:hAnsi="宋体"/>
          <w:b/>
          <w:sz w:val="32"/>
        </w:rPr>
        <w:br w:type="page"/>
      </w:r>
      <w:r>
        <w:rPr>
          <w:rFonts w:hint="eastAsia" w:ascii="宋体" w:hAnsi="宋体"/>
          <w:b/>
          <w:sz w:val="32"/>
        </w:rPr>
        <w:t>主要工业产品产量</w:t>
      </w:r>
    </w:p>
    <w:tbl>
      <w:tblPr>
        <w:tblStyle w:val="20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9"/>
        <w:gridCol w:w="1485"/>
        <w:gridCol w:w="1230"/>
        <w:gridCol w:w="1170"/>
        <w:gridCol w:w="125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33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产品名称</w:t>
            </w: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计量单位</w:t>
            </w: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2020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2021</w:t>
            </w:r>
          </w:p>
        </w:tc>
        <w:tc>
          <w:tcPr>
            <w:tcW w:w="12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同比增长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（%）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9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饲料</w:t>
            </w: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万吨</w:t>
            </w: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132.01 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135.86 </w:t>
            </w:r>
          </w:p>
        </w:tc>
        <w:tc>
          <w:tcPr>
            <w:tcW w:w="1258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2.9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精制食用植物油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万吨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2.87 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3.24 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13.0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方便面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万吨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31.61 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31.93 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1.0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乳制品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万吨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4.28 </w:t>
            </w:r>
          </w:p>
        </w:tc>
        <w:tc>
          <w:tcPr>
            <w:tcW w:w="11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5.72 </w:t>
            </w:r>
          </w:p>
        </w:tc>
        <w:tc>
          <w:tcPr>
            <w:tcW w:w="125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33.7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饮料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万吨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109.90 </w:t>
            </w:r>
          </w:p>
        </w:tc>
        <w:tc>
          <w:tcPr>
            <w:tcW w:w="11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125.09 </w:t>
            </w:r>
          </w:p>
        </w:tc>
        <w:tc>
          <w:tcPr>
            <w:tcW w:w="125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13.8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非织造布（无纺布）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万吨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3.35 </w:t>
            </w:r>
          </w:p>
        </w:tc>
        <w:tc>
          <w:tcPr>
            <w:tcW w:w="11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2.72 </w:t>
            </w:r>
          </w:p>
        </w:tc>
        <w:tc>
          <w:tcPr>
            <w:tcW w:w="125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-18.9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家具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万件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110.01 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111.37 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1.2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乙烯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万吨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92.50 </w:t>
            </w:r>
          </w:p>
        </w:tc>
        <w:tc>
          <w:tcPr>
            <w:tcW w:w="11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126.31 </w:t>
            </w:r>
          </w:p>
        </w:tc>
        <w:tc>
          <w:tcPr>
            <w:tcW w:w="125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36.6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丙烯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万吨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46.84 </w:t>
            </w:r>
          </w:p>
        </w:tc>
        <w:tc>
          <w:tcPr>
            <w:tcW w:w="11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63.72 </w:t>
            </w:r>
          </w:p>
        </w:tc>
        <w:tc>
          <w:tcPr>
            <w:tcW w:w="125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36.0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涂料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万吨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11.05 </w:t>
            </w:r>
          </w:p>
        </w:tc>
        <w:tc>
          <w:tcPr>
            <w:tcW w:w="11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12.08 </w:t>
            </w:r>
          </w:p>
        </w:tc>
        <w:tc>
          <w:tcPr>
            <w:tcW w:w="125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9.4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初级形态塑料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万吨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97.25 </w:t>
            </w:r>
          </w:p>
        </w:tc>
        <w:tc>
          <w:tcPr>
            <w:tcW w:w="1170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124.25 </w:t>
            </w:r>
          </w:p>
        </w:tc>
        <w:tc>
          <w:tcPr>
            <w:tcW w:w="1258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27.8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稀土磁性材料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吨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3600 </w:t>
            </w:r>
          </w:p>
        </w:tc>
        <w:tc>
          <w:tcPr>
            <w:tcW w:w="1170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5945 </w:t>
            </w:r>
          </w:p>
        </w:tc>
        <w:tc>
          <w:tcPr>
            <w:tcW w:w="1258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65.1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化学原料药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吨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28931 </w:t>
            </w:r>
          </w:p>
        </w:tc>
        <w:tc>
          <w:tcPr>
            <w:tcW w:w="1170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27828 </w:t>
            </w:r>
          </w:p>
        </w:tc>
        <w:tc>
          <w:tcPr>
            <w:tcW w:w="1258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-3.8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橡胶轮胎外胎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万条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527.64 </w:t>
            </w:r>
          </w:p>
        </w:tc>
        <w:tc>
          <w:tcPr>
            <w:tcW w:w="1170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636.99 </w:t>
            </w:r>
          </w:p>
        </w:tc>
        <w:tc>
          <w:tcPr>
            <w:tcW w:w="1258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20.7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铝合金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万吨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11.19 </w:t>
            </w:r>
          </w:p>
        </w:tc>
        <w:tc>
          <w:tcPr>
            <w:tcW w:w="1170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12.65 </w:t>
            </w:r>
          </w:p>
        </w:tc>
        <w:tc>
          <w:tcPr>
            <w:tcW w:w="1258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13.1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汽车用发动机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兆瓦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43238.76 </w:t>
            </w:r>
          </w:p>
        </w:tc>
        <w:tc>
          <w:tcPr>
            <w:tcW w:w="1170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2938.63 </w:t>
            </w:r>
          </w:p>
        </w:tc>
        <w:tc>
          <w:tcPr>
            <w:tcW w:w="1258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-32.0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电梯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万台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2.88 </w:t>
            </w:r>
          </w:p>
        </w:tc>
        <w:tc>
          <w:tcPr>
            <w:tcW w:w="1170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3.83 </w:t>
            </w:r>
          </w:p>
        </w:tc>
        <w:tc>
          <w:tcPr>
            <w:tcW w:w="1258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32.9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减速机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万台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37.04 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48.84 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31.9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中型拖拉机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万台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0.41 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0.59 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46.1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医疗仪器设备及器械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台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1705 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2855 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67.4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工业机器人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台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128 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133 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3.9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服务机器人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万台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20.58 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55.13 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167.9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汽车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万辆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94.47 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73.98 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-21.7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其中：新能源汽车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万辆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1.57 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2.52 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60.3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发电机组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兆瓦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1482.16 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297.66 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-79.9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锂离子电池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亿只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5.29 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7.99 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51.0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铅酸蓄电池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万千伏安时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252.98 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260.84 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3.1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太阳能电池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兆瓦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296.95 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203.94 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-31.3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电子计算机整机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万台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56.28 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49.13 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-12.7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显示器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万部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765.07 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563.05 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-26.4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半导体分立器件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亿只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156.83 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210.79 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34.4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  <w:jc w:val="center"/>
        </w:trPr>
        <w:tc>
          <w:tcPr>
            <w:tcW w:w="33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集成电路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亿块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7.36 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14.22 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93.1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电子元件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亿只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245.19 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267.72 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9.2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工业自动调节仪表与控制系统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万台（套）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150.80 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182.19 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20.8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3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汽车仪器仪表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万台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280.33 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302.52 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7.9 </w:t>
            </w:r>
          </w:p>
        </w:tc>
      </w:tr>
    </w:tbl>
    <w:p/>
    <w:p>
      <w:pPr>
        <w:spacing w:before="312" w:beforeLines="100"/>
        <w:ind w:left="-141" w:leftChars="-67" w:right="-197" w:rightChars="-94"/>
        <w:jc w:val="center"/>
        <w:rPr>
          <w:rFonts w:ascii="宋体" w:hAnsi="宋体"/>
          <w:b/>
          <w:bCs/>
          <w:sz w:val="32"/>
        </w:rPr>
      </w:pPr>
      <w:r>
        <w:rPr>
          <w:rFonts w:hint="eastAsia" w:ascii="宋体" w:hAnsi="宋体"/>
          <w:b/>
          <w:bCs/>
          <w:sz w:val="32"/>
        </w:rPr>
        <w:br w:type="page"/>
      </w:r>
      <w:r>
        <w:rPr>
          <w:rFonts w:hint="eastAsia" w:ascii="宋体" w:hAnsi="宋体"/>
          <w:b/>
          <w:bCs/>
          <w:sz w:val="32"/>
        </w:rPr>
        <w:t>第三产业主要指标</w:t>
      </w:r>
    </w:p>
    <w:p>
      <w:pPr>
        <w:ind w:right="26" w:firstLine="720"/>
        <w:jc w:val="right"/>
        <w:rPr>
          <w:rFonts w:ascii="宋体" w:hAnsi="宋体"/>
        </w:rPr>
      </w:pPr>
      <w:r>
        <w:rPr>
          <w:rFonts w:hint="eastAsia" w:ascii="宋体" w:hAnsi="宋体"/>
        </w:rPr>
        <w:t>单位：万元</w:t>
      </w:r>
    </w:p>
    <w:tbl>
      <w:tblPr>
        <w:tblStyle w:val="20"/>
        <w:tblW w:w="8556" w:type="dxa"/>
        <w:jc w:val="center"/>
        <w:tblBorders>
          <w:top w:val="single" w:color="auto" w:sz="8" w:space="0"/>
          <w:left w:val="none" w:color="auto" w:sz="0" w:space="0"/>
          <w:bottom w:val="single" w:color="auto" w:sz="8" w:space="0"/>
          <w:right w:val="none" w:color="auto" w:sz="0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32"/>
        <w:gridCol w:w="1297"/>
        <w:gridCol w:w="1236"/>
        <w:gridCol w:w="1391"/>
      </w:tblGrid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463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129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123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139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同比增长%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32" w:type="dxa"/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“四上”企业营业收入</w:t>
            </w:r>
          </w:p>
        </w:tc>
        <w:tc>
          <w:tcPr>
            <w:tcW w:w="1297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49533328 </w:t>
            </w:r>
          </w:p>
        </w:tc>
        <w:tc>
          <w:tcPr>
            <w:tcW w:w="1236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60657442 </w:t>
            </w:r>
          </w:p>
        </w:tc>
        <w:tc>
          <w:tcPr>
            <w:tcW w:w="1391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22.5 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32" w:type="dxa"/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外商及港澳台投资企业</w:t>
            </w:r>
          </w:p>
        </w:tc>
        <w:tc>
          <w:tcPr>
            <w:tcW w:w="1297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5995762 </w:t>
            </w:r>
          </w:p>
        </w:tc>
        <w:tc>
          <w:tcPr>
            <w:tcW w:w="1236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7038207 </w:t>
            </w:r>
          </w:p>
        </w:tc>
        <w:tc>
          <w:tcPr>
            <w:tcW w:w="1391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17.4 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32" w:type="dxa"/>
            <w:vAlign w:val="center"/>
          </w:tcPr>
          <w:p>
            <w:pPr>
              <w:ind w:firstLine="360" w:firstLineChars="150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批发和零售业</w:t>
            </w:r>
          </w:p>
        </w:tc>
        <w:tc>
          <w:tcPr>
            <w:tcW w:w="1297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31233088 </w:t>
            </w:r>
          </w:p>
        </w:tc>
        <w:tc>
          <w:tcPr>
            <w:tcW w:w="1236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39729308 </w:t>
            </w:r>
          </w:p>
        </w:tc>
        <w:tc>
          <w:tcPr>
            <w:tcW w:w="1391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27.2 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32" w:type="dxa"/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交通运输、仓储和邮政业</w:t>
            </w:r>
          </w:p>
        </w:tc>
        <w:tc>
          <w:tcPr>
            <w:tcW w:w="1297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bidi="ar"/>
              </w:rPr>
              <w:t>9957159</w:t>
            </w:r>
          </w:p>
        </w:tc>
        <w:tc>
          <w:tcPr>
            <w:tcW w:w="1236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10923798 </w:t>
            </w:r>
          </w:p>
        </w:tc>
        <w:tc>
          <w:tcPr>
            <w:tcW w:w="1391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9.7 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32" w:type="dxa"/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住宿和餐饮业</w:t>
            </w:r>
          </w:p>
        </w:tc>
        <w:tc>
          <w:tcPr>
            <w:tcW w:w="1297" w:type="dxa"/>
            <w:vAlign w:val="center"/>
          </w:tcPr>
          <w:p>
            <w:pPr>
              <w:jc w:val="right"/>
            </w:pPr>
            <w:r>
              <w:rPr>
                <w:rFonts w:hint="eastAsia" w:ascii="宋体" w:hAnsi="宋体"/>
                <w:sz w:val="24"/>
                <w:szCs w:val="24"/>
              </w:rPr>
              <w:t xml:space="preserve">134426 </w:t>
            </w:r>
          </w:p>
        </w:tc>
        <w:tc>
          <w:tcPr>
            <w:tcW w:w="1236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160939 </w:t>
            </w:r>
          </w:p>
        </w:tc>
        <w:tc>
          <w:tcPr>
            <w:tcW w:w="1391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19.7 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32" w:type="dxa"/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房地产业</w:t>
            </w:r>
          </w:p>
        </w:tc>
        <w:tc>
          <w:tcPr>
            <w:tcW w:w="1297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883984 </w:t>
            </w:r>
          </w:p>
        </w:tc>
        <w:tc>
          <w:tcPr>
            <w:tcW w:w="1236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917927 </w:t>
            </w:r>
          </w:p>
        </w:tc>
        <w:tc>
          <w:tcPr>
            <w:tcW w:w="1391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3.8 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32" w:type="dxa"/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其他服务业</w:t>
            </w:r>
          </w:p>
        </w:tc>
        <w:tc>
          <w:tcPr>
            <w:tcW w:w="1297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7424490 </w:t>
            </w:r>
          </w:p>
        </w:tc>
        <w:tc>
          <w:tcPr>
            <w:tcW w:w="1236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8925469 </w:t>
            </w:r>
          </w:p>
        </w:tc>
        <w:tc>
          <w:tcPr>
            <w:tcW w:w="1391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20.2 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32" w:type="dxa"/>
            <w:vAlign w:val="center"/>
          </w:tcPr>
          <w:p>
            <w:pPr>
              <w:ind w:firstLine="540" w:firstLineChars="225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  <w:vertAlign w:val="superscript"/>
              </w:rPr>
              <w:t>#</w:t>
            </w:r>
            <w:r>
              <w:rPr>
                <w:rFonts w:hint="eastAsia" w:ascii="宋体" w:hAnsi="宋体"/>
                <w:sz w:val="24"/>
                <w:szCs w:val="24"/>
              </w:rPr>
              <w:t>信息传输、软件和信息技术服务业</w:t>
            </w:r>
          </w:p>
        </w:tc>
        <w:tc>
          <w:tcPr>
            <w:tcW w:w="1297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bidi="ar"/>
              </w:rPr>
              <w:t>2931673</w:t>
            </w:r>
          </w:p>
        </w:tc>
        <w:tc>
          <w:tcPr>
            <w:tcW w:w="1236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4068389 </w:t>
            </w:r>
          </w:p>
        </w:tc>
        <w:tc>
          <w:tcPr>
            <w:tcW w:w="1391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38.8 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32" w:type="dxa"/>
            <w:vAlign w:val="center"/>
          </w:tcPr>
          <w:p>
            <w:pPr>
              <w:ind w:firstLine="616" w:firstLineChars="257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租赁和商务服务业</w:t>
            </w:r>
          </w:p>
        </w:tc>
        <w:tc>
          <w:tcPr>
            <w:tcW w:w="1297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1557560 </w:t>
            </w:r>
          </w:p>
        </w:tc>
        <w:tc>
          <w:tcPr>
            <w:tcW w:w="1236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1673615 </w:t>
            </w:r>
          </w:p>
        </w:tc>
        <w:tc>
          <w:tcPr>
            <w:tcW w:w="1391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7.5 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32" w:type="dxa"/>
            <w:vAlign w:val="center"/>
          </w:tcPr>
          <w:p>
            <w:pPr>
              <w:ind w:firstLine="616" w:firstLineChars="257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科学研究和技术服务业</w:t>
            </w:r>
          </w:p>
        </w:tc>
        <w:tc>
          <w:tcPr>
            <w:tcW w:w="1297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1367186 </w:t>
            </w:r>
          </w:p>
        </w:tc>
        <w:tc>
          <w:tcPr>
            <w:tcW w:w="1236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1106267 </w:t>
            </w:r>
          </w:p>
        </w:tc>
        <w:tc>
          <w:tcPr>
            <w:tcW w:w="1391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-19.1 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32" w:type="dxa"/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“四上”企业利润总额</w:t>
            </w:r>
          </w:p>
        </w:tc>
        <w:tc>
          <w:tcPr>
            <w:tcW w:w="1297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1161846 </w:t>
            </w:r>
          </w:p>
        </w:tc>
        <w:tc>
          <w:tcPr>
            <w:tcW w:w="1236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1191048 </w:t>
            </w:r>
          </w:p>
        </w:tc>
        <w:tc>
          <w:tcPr>
            <w:tcW w:w="1391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2.5 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32" w:type="dxa"/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外商及港澳台投资企业</w:t>
            </w:r>
          </w:p>
        </w:tc>
        <w:tc>
          <w:tcPr>
            <w:tcW w:w="1297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891644 </w:t>
            </w:r>
          </w:p>
        </w:tc>
        <w:tc>
          <w:tcPr>
            <w:tcW w:w="1236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684160 </w:t>
            </w:r>
          </w:p>
        </w:tc>
        <w:tc>
          <w:tcPr>
            <w:tcW w:w="1391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-23.3 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32" w:type="dxa"/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批发和零售业</w:t>
            </w:r>
          </w:p>
        </w:tc>
        <w:tc>
          <w:tcPr>
            <w:tcW w:w="1297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258129 </w:t>
            </w:r>
          </w:p>
        </w:tc>
        <w:tc>
          <w:tcPr>
            <w:tcW w:w="1236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328920 </w:t>
            </w:r>
          </w:p>
        </w:tc>
        <w:tc>
          <w:tcPr>
            <w:tcW w:w="1391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27.4 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32" w:type="dxa"/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交通运输、仓储和邮政业</w:t>
            </w:r>
          </w:p>
        </w:tc>
        <w:tc>
          <w:tcPr>
            <w:tcW w:w="1297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-11274 </w:t>
            </w:r>
          </w:p>
        </w:tc>
        <w:tc>
          <w:tcPr>
            <w:tcW w:w="1236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181036 </w:t>
            </w:r>
          </w:p>
        </w:tc>
        <w:tc>
          <w:tcPr>
            <w:tcW w:w="1391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-- 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32" w:type="dxa"/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住宿和餐饮业</w:t>
            </w:r>
          </w:p>
        </w:tc>
        <w:tc>
          <w:tcPr>
            <w:tcW w:w="1297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-28575 </w:t>
            </w:r>
          </w:p>
        </w:tc>
        <w:tc>
          <w:tcPr>
            <w:tcW w:w="1236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-30220 </w:t>
            </w:r>
          </w:p>
        </w:tc>
        <w:tc>
          <w:tcPr>
            <w:tcW w:w="1391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-- 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32" w:type="dxa"/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房地产业</w:t>
            </w:r>
          </w:p>
        </w:tc>
        <w:tc>
          <w:tcPr>
            <w:tcW w:w="1297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-10691 </w:t>
            </w:r>
          </w:p>
        </w:tc>
        <w:tc>
          <w:tcPr>
            <w:tcW w:w="1236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-62663 </w:t>
            </w:r>
          </w:p>
        </w:tc>
        <w:tc>
          <w:tcPr>
            <w:tcW w:w="1391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-- 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32" w:type="dxa"/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其他服务业</w:t>
            </w:r>
          </w:p>
        </w:tc>
        <w:tc>
          <w:tcPr>
            <w:tcW w:w="1297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954257 </w:t>
            </w:r>
          </w:p>
        </w:tc>
        <w:tc>
          <w:tcPr>
            <w:tcW w:w="1236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773975 </w:t>
            </w:r>
          </w:p>
        </w:tc>
        <w:tc>
          <w:tcPr>
            <w:tcW w:w="1391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-18.9 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32" w:type="dxa"/>
            <w:vAlign w:val="center"/>
          </w:tcPr>
          <w:p>
            <w:pPr>
              <w:ind w:firstLine="540" w:firstLineChars="225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  <w:vertAlign w:val="superscript"/>
              </w:rPr>
              <w:t>#</w:t>
            </w:r>
            <w:r>
              <w:rPr>
                <w:rFonts w:hint="eastAsia" w:ascii="宋体" w:hAnsi="宋体"/>
                <w:sz w:val="24"/>
                <w:szCs w:val="24"/>
              </w:rPr>
              <w:t>信息传输、软件和信息技术服务业</w:t>
            </w:r>
          </w:p>
        </w:tc>
        <w:tc>
          <w:tcPr>
            <w:tcW w:w="1297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546841 </w:t>
            </w:r>
          </w:p>
        </w:tc>
        <w:tc>
          <w:tcPr>
            <w:tcW w:w="1236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392714 </w:t>
            </w:r>
          </w:p>
        </w:tc>
        <w:tc>
          <w:tcPr>
            <w:tcW w:w="1391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-28.2 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32" w:type="dxa"/>
            <w:vAlign w:val="center"/>
          </w:tcPr>
          <w:p>
            <w:pPr>
              <w:ind w:firstLine="616" w:firstLineChars="257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租赁和商务服务业</w:t>
            </w:r>
          </w:p>
        </w:tc>
        <w:tc>
          <w:tcPr>
            <w:tcW w:w="1297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221813 </w:t>
            </w:r>
          </w:p>
        </w:tc>
        <w:tc>
          <w:tcPr>
            <w:tcW w:w="1236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195901 </w:t>
            </w:r>
          </w:p>
        </w:tc>
        <w:tc>
          <w:tcPr>
            <w:tcW w:w="1391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-11.7 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32" w:type="dxa"/>
            <w:vAlign w:val="center"/>
          </w:tcPr>
          <w:p>
            <w:pPr>
              <w:ind w:firstLine="616" w:firstLineChars="257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科学研究和技术服务业</w:t>
            </w:r>
          </w:p>
        </w:tc>
        <w:tc>
          <w:tcPr>
            <w:tcW w:w="1297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143667 </w:t>
            </w:r>
          </w:p>
        </w:tc>
        <w:tc>
          <w:tcPr>
            <w:tcW w:w="1236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145806 </w:t>
            </w:r>
          </w:p>
        </w:tc>
        <w:tc>
          <w:tcPr>
            <w:tcW w:w="1391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1.5 </w:t>
            </w:r>
          </w:p>
        </w:tc>
      </w:tr>
    </w:tbl>
    <w:p>
      <w:pPr>
        <w:tabs>
          <w:tab w:val="left" w:pos="7938"/>
        </w:tabs>
        <w:spacing w:before="312" w:beforeLines="100"/>
        <w:ind w:right="225" w:rightChars="107"/>
        <w:jc w:val="center"/>
        <w:rPr>
          <w:rFonts w:ascii="宋体" w:hAnsi="宋体"/>
          <w:b/>
          <w:bCs/>
          <w:sz w:val="28"/>
          <w:szCs w:val="28"/>
        </w:rPr>
      </w:pPr>
      <w:r>
        <w:rPr>
          <w:rFonts w:hint="eastAsia" w:ascii="宋体" w:hAnsi="宋体"/>
          <w:b/>
          <w:bCs/>
          <w:sz w:val="28"/>
          <w:szCs w:val="28"/>
        </w:rPr>
        <w:t>限额以上批发和零售业商品购进、销售、库存及主要商品销售类值</w:t>
      </w:r>
    </w:p>
    <w:p>
      <w:pPr>
        <w:tabs>
          <w:tab w:val="left" w:pos="7938"/>
        </w:tabs>
        <w:ind w:right="225" w:rightChars="107"/>
        <w:jc w:val="right"/>
        <w:rPr>
          <w:rFonts w:ascii="宋体" w:hAnsi="宋体"/>
        </w:rPr>
      </w:pPr>
      <w:r>
        <w:rPr>
          <w:rFonts w:hint="eastAsia" w:ascii="宋体" w:hAnsi="宋体"/>
        </w:rPr>
        <w:t>单位：万元</w:t>
      </w:r>
    </w:p>
    <w:tbl>
      <w:tblPr>
        <w:tblStyle w:val="20"/>
        <w:tblW w:w="0" w:type="auto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750"/>
        <w:gridCol w:w="1490"/>
        <w:gridCol w:w="1490"/>
        <w:gridCol w:w="1606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6" w:hRule="atLeast"/>
        </w:trPr>
        <w:tc>
          <w:tcPr>
            <w:tcW w:w="3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Arial Unicode MS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指  标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2020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2021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同比增长（%）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商品销售总额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34389643 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43344086 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26.0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3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期末商品库存总额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1913454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1949637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1.9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主要商品销售类值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金属材料类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16207691 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22348511 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37.9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化工材料及制品类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5194623 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6560563 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26.3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煤炭及制品类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4176729 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5090777 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21.9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石油及制品类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1652706 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2308776 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39.7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6" w:hRule="atLeast"/>
        </w:trPr>
        <w:tc>
          <w:tcPr>
            <w:tcW w:w="3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汽车类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1284940 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846447 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-34.1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3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粮油、食品类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853209 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1045840 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22.6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建筑及装潢材料类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1309845 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1364718 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4.2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木材及制品类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595614 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740199 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24.3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通讯器材类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217518 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180423 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-17.1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</w:p>
        </w:tc>
      </w:tr>
    </w:tbl>
    <w:p>
      <w:pPr>
        <w:spacing w:before="312" w:beforeLines="100"/>
        <w:ind w:right="225" w:rightChars="107"/>
        <w:jc w:val="center"/>
        <w:rPr>
          <w:rFonts w:ascii="宋体" w:hAnsi="宋体"/>
          <w:b/>
          <w:bCs/>
          <w:sz w:val="32"/>
        </w:rPr>
      </w:pPr>
      <w:r>
        <w:rPr>
          <w:rFonts w:hint="eastAsia" w:ascii="宋体" w:hAnsi="宋体"/>
          <w:b/>
          <w:bCs/>
          <w:sz w:val="32"/>
        </w:rPr>
        <w:t>限额以上企业社会消费品零售总额</w:t>
      </w:r>
    </w:p>
    <w:p>
      <w:pPr>
        <w:ind w:left="-210" w:leftChars="-100" w:right="162" w:rightChars="77"/>
        <w:jc w:val="right"/>
        <w:rPr>
          <w:rFonts w:ascii="宋体" w:hAnsi="宋体"/>
        </w:rPr>
      </w:pPr>
      <w:r>
        <w:rPr>
          <w:rFonts w:hint="eastAsia" w:ascii="宋体" w:hAnsi="宋体"/>
        </w:rPr>
        <w:t>单位：万元</w:t>
      </w:r>
    </w:p>
    <w:tbl>
      <w:tblPr>
        <w:tblStyle w:val="20"/>
        <w:tblW w:w="0" w:type="auto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34"/>
        <w:gridCol w:w="1701"/>
        <w:gridCol w:w="1701"/>
        <w:gridCol w:w="180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Arial Unicode MS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指  标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2020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2021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Arial Unicode MS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同比增长（%）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社会消费品零售总额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631938 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755153 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19.5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按注册登记类型分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180" w:firstLineChars="7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内资企业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591514 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709612 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180" w:firstLineChars="7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外商及港澳台投资企业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40643 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45541 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12.1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按商品类值分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right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汽车类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327472 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334777 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石油及制品类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43962 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57520 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30.8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服装、鞋帽、针纺织品类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36786 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30775 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-16.3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粮油、食品类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18482 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27089 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46.6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通讯器材类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13232 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7675 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-42.0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金银珠宝类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15704 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21949 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39.8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化妆品类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20208 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19691 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-2.6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家用电器和音像器材类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5290 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2124 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-59.9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文化办公用品类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4676 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5352 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14.4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烟酒类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3279 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4102 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25.1 </w:t>
            </w:r>
          </w:p>
        </w:tc>
      </w:tr>
    </w:tbl>
    <w:p>
      <w:pPr>
        <w:spacing w:before="312" w:beforeLines="100"/>
        <w:ind w:left="-141" w:leftChars="-67" w:right="-57" w:rightChars="-27"/>
        <w:jc w:val="center"/>
        <w:rPr>
          <w:rFonts w:ascii="宋体" w:hAnsi="宋体"/>
          <w:b/>
          <w:bCs/>
          <w:sz w:val="32"/>
        </w:rPr>
      </w:pPr>
      <w:r>
        <w:rPr>
          <w:rFonts w:hint="eastAsia" w:ascii="宋体" w:hAnsi="宋体"/>
          <w:b/>
          <w:bCs/>
          <w:sz w:val="32"/>
        </w:rPr>
        <w:t>客货运输量完成情况</w:t>
      </w:r>
    </w:p>
    <w:tbl>
      <w:tblPr>
        <w:tblStyle w:val="20"/>
        <w:tblW w:w="0" w:type="auto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04"/>
        <w:gridCol w:w="1750"/>
        <w:gridCol w:w="1783"/>
        <w:gridCol w:w="1785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04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1750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</w:t>
            </w:r>
          </w:p>
        </w:tc>
        <w:tc>
          <w:tcPr>
            <w:tcW w:w="1783" w:type="dxa"/>
            <w:vAlign w:val="center"/>
          </w:tcPr>
          <w:p>
            <w:pPr>
              <w:widowControl/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1785" w:type="dxa"/>
            <w:vAlign w:val="center"/>
          </w:tcPr>
          <w:p>
            <w:pPr>
              <w:widowControl/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04" w:type="dxa"/>
            <w:vAlign w:val="center"/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港口吞吐量</w:t>
            </w:r>
          </w:p>
        </w:tc>
        <w:tc>
          <w:tcPr>
            <w:tcW w:w="1750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万吨</w:t>
            </w:r>
          </w:p>
        </w:tc>
        <w:tc>
          <w:tcPr>
            <w:tcW w:w="1783" w:type="dxa"/>
            <w:vAlign w:val="center"/>
          </w:tcPr>
          <w:p>
            <w:pPr>
              <w:widowControl/>
              <w:wordWrap w:val="0"/>
              <w:jc w:val="right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1440.18</w:t>
            </w:r>
          </w:p>
        </w:tc>
        <w:tc>
          <w:tcPr>
            <w:tcW w:w="1785" w:type="dxa"/>
            <w:vAlign w:val="center"/>
          </w:tcPr>
          <w:p>
            <w:pPr>
              <w:widowControl/>
              <w:wordWrap w:val="0"/>
              <w:jc w:val="right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1365.87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04" w:type="dxa"/>
            <w:vAlign w:val="center"/>
          </w:tcPr>
          <w:p>
            <w:pPr>
              <w:autoSpaceDE w:val="0"/>
              <w:autoSpaceDN w:val="0"/>
              <w:adjustRightInd w:val="0"/>
              <w:ind w:firstLine="240" w:firstLineChars="100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外贸吞吐量</w:t>
            </w:r>
          </w:p>
        </w:tc>
        <w:tc>
          <w:tcPr>
            <w:tcW w:w="1750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万吨</w:t>
            </w:r>
          </w:p>
        </w:tc>
        <w:tc>
          <w:tcPr>
            <w:tcW w:w="1783" w:type="dxa"/>
            <w:vAlign w:val="center"/>
          </w:tcPr>
          <w:p>
            <w:pPr>
              <w:widowControl/>
              <w:wordWrap w:val="0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777.87</w:t>
            </w:r>
          </w:p>
        </w:tc>
        <w:tc>
          <w:tcPr>
            <w:tcW w:w="1785" w:type="dxa"/>
            <w:vAlign w:val="center"/>
          </w:tcPr>
          <w:p>
            <w:pPr>
              <w:widowControl/>
              <w:wordWrap w:val="0"/>
              <w:jc w:val="right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747.52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04" w:type="dxa"/>
            <w:vAlign w:val="center"/>
          </w:tcPr>
          <w:p>
            <w:pPr>
              <w:autoSpaceDE w:val="0"/>
              <w:autoSpaceDN w:val="0"/>
              <w:adjustRightInd w:val="0"/>
              <w:ind w:firstLine="240" w:firstLineChars="100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内贸吞吐量</w:t>
            </w:r>
          </w:p>
        </w:tc>
        <w:tc>
          <w:tcPr>
            <w:tcW w:w="1750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万吨</w:t>
            </w:r>
          </w:p>
        </w:tc>
        <w:tc>
          <w:tcPr>
            <w:tcW w:w="1783" w:type="dxa"/>
            <w:vAlign w:val="center"/>
          </w:tcPr>
          <w:p>
            <w:pPr>
              <w:widowControl/>
              <w:wordWrap w:val="0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662.31</w:t>
            </w:r>
          </w:p>
        </w:tc>
        <w:tc>
          <w:tcPr>
            <w:tcW w:w="1785" w:type="dxa"/>
            <w:vAlign w:val="center"/>
          </w:tcPr>
          <w:p>
            <w:pPr>
              <w:widowControl/>
              <w:wordWrap w:val="0"/>
              <w:jc w:val="right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618.35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04" w:type="dxa"/>
            <w:vAlign w:val="center"/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客运量</w:t>
            </w:r>
          </w:p>
        </w:tc>
        <w:tc>
          <w:tcPr>
            <w:tcW w:w="1750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783" w:type="dxa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785" w:type="dxa"/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04" w:type="dxa"/>
            <w:vAlign w:val="center"/>
          </w:tcPr>
          <w:p>
            <w:pPr>
              <w:autoSpaceDE w:val="0"/>
              <w:autoSpaceDN w:val="0"/>
              <w:adjustRightInd w:val="0"/>
              <w:ind w:firstLine="240" w:firstLineChars="100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旅客发送量</w:t>
            </w:r>
          </w:p>
        </w:tc>
        <w:tc>
          <w:tcPr>
            <w:tcW w:w="1750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万人次</w:t>
            </w:r>
          </w:p>
        </w:tc>
        <w:tc>
          <w:tcPr>
            <w:tcW w:w="1783" w:type="dxa"/>
            <w:vAlign w:val="center"/>
          </w:tcPr>
          <w:p>
            <w:pPr>
              <w:ind w:firstLine="480" w:firstLineChars="200"/>
              <w:jc w:val="right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8242.97</w:t>
            </w:r>
          </w:p>
        </w:tc>
        <w:tc>
          <w:tcPr>
            <w:tcW w:w="1785" w:type="dxa"/>
            <w:vAlign w:val="center"/>
          </w:tcPr>
          <w:p>
            <w:pPr>
              <w:ind w:firstLine="480" w:firstLineChars="200"/>
              <w:jc w:val="right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10402.61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04" w:type="dxa"/>
            <w:vAlign w:val="center"/>
          </w:tcPr>
          <w:p>
            <w:pPr>
              <w:autoSpaceDE w:val="0"/>
              <w:autoSpaceDN w:val="0"/>
              <w:adjustRightInd w:val="0"/>
              <w:ind w:firstLine="480" w:firstLineChars="200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轻轨</w:t>
            </w:r>
          </w:p>
        </w:tc>
        <w:tc>
          <w:tcPr>
            <w:tcW w:w="1750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万人次</w:t>
            </w:r>
          </w:p>
        </w:tc>
        <w:tc>
          <w:tcPr>
            <w:tcW w:w="1783" w:type="dxa"/>
            <w:vAlign w:val="center"/>
          </w:tcPr>
          <w:p>
            <w:pPr>
              <w:widowControl/>
              <w:jc w:val="right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3595.37</w:t>
            </w:r>
          </w:p>
        </w:tc>
        <w:tc>
          <w:tcPr>
            <w:tcW w:w="1785" w:type="dxa"/>
            <w:vAlign w:val="center"/>
          </w:tcPr>
          <w:p>
            <w:pPr>
              <w:widowControl/>
              <w:jc w:val="right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4761.93</w:t>
            </w:r>
          </w:p>
        </w:tc>
      </w:tr>
    </w:tbl>
    <w:p>
      <w:pPr>
        <w:spacing w:before="312" w:beforeLines="100"/>
        <w:ind w:left="-210" w:leftChars="-100" w:right="-197" w:rightChars="-94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限额以上住宿和餐饮业情况</w:t>
      </w:r>
    </w:p>
    <w:p>
      <w:pPr>
        <w:tabs>
          <w:tab w:val="left" w:pos="7938"/>
        </w:tabs>
        <w:ind w:right="225" w:rightChars="107"/>
        <w:jc w:val="right"/>
        <w:rPr>
          <w:rFonts w:ascii="宋体" w:hAnsi="宋体"/>
        </w:rPr>
      </w:pPr>
      <w:r>
        <w:rPr>
          <w:rFonts w:hint="eastAsia" w:ascii="宋体" w:hAnsi="宋体"/>
        </w:rPr>
        <w:t>单位：万元</w:t>
      </w:r>
    </w:p>
    <w:tbl>
      <w:tblPr>
        <w:tblStyle w:val="20"/>
        <w:tblW w:w="0" w:type="auto"/>
        <w:jc w:val="center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71"/>
        <w:gridCol w:w="1571"/>
        <w:gridCol w:w="1571"/>
        <w:gridCol w:w="2209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71" w:type="dxa"/>
            <w:tcBorders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指标</w:t>
            </w:r>
          </w:p>
        </w:tc>
        <w:tc>
          <w:tcPr>
            <w:tcW w:w="1571" w:type="dxa"/>
            <w:tcBorders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2020</w:t>
            </w:r>
          </w:p>
        </w:tc>
        <w:tc>
          <w:tcPr>
            <w:tcW w:w="1571" w:type="dxa"/>
            <w:tcBorders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2021</w:t>
            </w:r>
          </w:p>
        </w:tc>
        <w:tc>
          <w:tcPr>
            <w:tcW w:w="2209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同比增长（%）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7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营业额</w:t>
            </w:r>
          </w:p>
        </w:tc>
        <w:tc>
          <w:tcPr>
            <w:tcW w:w="1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118221 </w:t>
            </w:r>
          </w:p>
        </w:tc>
        <w:tc>
          <w:tcPr>
            <w:tcW w:w="1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145109 </w:t>
            </w:r>
          </w:p>
        </w:tc>
        <w:tc>
          <w:tcPr>
            <w:tcW w:w="2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22.7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7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78" w:leftChars="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客房收入</w:t>
            </w:r>
          </w:p>
        </w:tc>
        <w:tc>
          <w:tcPr>
            <w:tcW w:w="1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30812 </w:t>
            </w:r>
          </w:p>
        </w:tc>
        <w:tc>
          <w:tcPr>
            <w:tcW w:w="1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45442 </w:t>
            </w:r>
          </w:p>
        </w:tc>
        <w:tc>
          <w:tcPr>
            <w:tcW w:w="2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47.5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7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78" w:leftChars="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餐费收入</w:t>
            </w:r>
          </w:p>
        </w:tc>
        <w:tc>
          <w:tcPr>
            <w:tcW w:w="1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58003 </w:t>
            </w:r>
          </w:p>
        </w:tc>
        <w:tc>
          <w:tcPr>
            <w:tcW w:w="1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79812 </w:t>
            </w:r>
          </w:p>
        </w:tc>
        <w:tc>
          <w:tcPr>
            <w:tcW w:w="2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37.6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7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78" w:leftChars="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商品销售额</w:t>
            </w:r>
          </w:p>
        </w:tc>
        <w:tc>
          <w:tcPr>
            <w:tcW w:w="1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2450 </w:t>
            </w:r>
          </w:p>
        </w:tc>
        <w:tc>
          <w:tcPr>
            <w:tcW w:w="1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2155 </w:t>
            </w:r>
          </w:p>
        </w:tc>
        <w:tc>
          <w:tcPr>
            <w:tcW w:w="2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-12.1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7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78" w:leftChars="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其他收入</w:t>
            </w:r>
          </w:p>
        </w:tc>
        <w:tc>
          <w:tcPr>
            <w:tcW w:w="1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26956 </w:t>
            </w:r>
          </w:p>
        </w:tc>
        <w:tc>
          <w:tcPr>
            <w:tcW w:w="1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17700 </w:t>
            </w:r>
          </w:p>
        </w:tc>
        <w:tc>
          <w:tcPr>
            <w:tcW w:w="2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-34.3 </w:t>
            </w:r>
          </w:p>
        </w:tc>
      </w:tr>
    </w:tbl>
    <w:p>
      <w:pPr>
        <w:spacing w:before="312" w:beforeLines="100"/>
        <w:ind w:left="-141" w:leftChars="-67" w:right="-57" w:rightChars="-27"/>
        <w:jc w:val="center"/>
        <w:rPr>
          <w:rFonts w:ascii="宋体" w:hAnsi="宋体"/>
          <w:b/>
          <w:bCs/>
          <w:sz w:val="32"/>
          <w:szCs w:val="32"/>
        </w:rPr>
      </w:pPr>
    </w:p>
    <w:p>
      <w:pPr>
        <w:spacing w:before="312" w:beforeLines="100"/>
        <w:ind w:right="-57"/>
        <w:jc w:val="center"/>
        <w:rPr>
          <w:rFonts w:ascii="宋体" w:hAnsi="宋体"/>
          <w:b/>
          <w:sz w:val="32"/>
        </w:rPr>
      </w:pPr>
      <w:r>
        <w:rPr>
          <w:rFonts w:hint="eastAsia" w:ascii="宋体" w:hAnsi="宋体"/>
          <w:b/>
          <w:sz w:val="32"/>
        </w:rPr>
        <w:t>房地产投资及房屋销售情况</w:t>
      </w:r>
    </w:p>
    <w:tbl>
      <w:tblPr>
        <w:tblStyle w:val="20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42"/>
        <w:gridCol w:w="1154"/>
        <w:gridCol w:w="1442"/>
        <w:gridCol w:w="1442"/>
        <w:gridCol w:w="144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2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1154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</w:t>
            </w: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1442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1442" w:type="dxa"/>
            <w:tcBorders>
              <w:top w:val="single" w:color="auto" w:sz="8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同比增长%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3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房地产开发投资</w:t>
            </w: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投资总额</w:t>
            </w:r>
          </w:p>
        </w:tc>
        <w:tc>
          <w:tcPr>
            <w:tcW w:w="11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万元</w:t>
            </w: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 xml:space="preserve">22.2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480" w:firstLineChars="200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住宅</w:t>
            </w: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万元</w:t>
            </w: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4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442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 xml:space="preserve">21.4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房地产开发建设</w:t>
            </w: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2" w:type="dxa"/>
            <w:tcBorders>
              <w:top w:val="nil"/>
              <w:left w:val="nil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施工面积</w:t>
            </w: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平方米</w:t>
            </w: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7644048</w:t>
            </w:r>
          </w:p>
        </w:tc>
        <w:tc>
          <w:tcPr>
            <w:tcW w:w="14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6524725</w:t>
            </w:r>
          </w:p>
        </w:tc>
        <w:tc>
          <w:tcPr>
            <w:tcW w:w="1442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-14.6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2" w:type="dxa"/>
            <w:tcBorders>
              <w:top w:val="single" w:color="auto" w:sz="2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住宅</w:t>
            </w: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平方米</w:t>
            </w: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3217645</w:t>
            </w:r>
          </w:p>
        </w:tc>
        <w:tc>
          <w:tcPr>
            <w:tcW w:w="14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3069509</w:t>
            </w:r>
          </w:p>
        </w:tc>
        <w:tc>
          <w:tcPr>
            <w:tcW w:w="1442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-4.6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竣工面积</w:t>
            </w: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平方米</w:t>
            </w: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857035</w:t>
            </w:r>
          </w:p>
        </w:tc>
        <w:tc>
          <w:tcPr>
            <w:tcW w:w="14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701022</w:t>
            </w:r>
          </w:p>
        </w:tc>
        <w:tc>
          <w:tcPr>
            <w:tcW w:w="1442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-18.2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住宅</w:t>
            </w: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平方米</w:t>
            </w: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536393</w:t>
            </w:r>
          </w:p>
        </w:tc>
        <w:tc>
          <w:tcPr>
            <w:tcW w:w="14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350694</w:t>
            </w:r>
          </w:p>
        </w:tc>
        <w:tc>
          <w:tcPr>
            <w:tcW w:w="1442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-34.6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房地产开发销售</w:t>
            </w:r>
          </w:p>
        </w:tc>
        <w:tc>
          <w:tcPr>
            <w:tcW w:w="11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商品房销售面积</w:t>
            </w: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平方米</w:t>
            </w: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557448</w:t>
            </w:r>
          </w:p>
        </w:tc>
        <w:tc>
          <w:tcPr>
            <w:tcW w:w="14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640537</w:t>
            </w:r>
          </w:p>
        </w:tc>
        <w:tc>
          <w:tcPr>
            <w:tcW w:w="1442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14.9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住宅</w:t>
            </w: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平方米</w:t>
            </w: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518673</w:t>
            </w:r>
          </w:p>
        </w:tc>
        <w:tc>
          <w:tcPr>
            <w:tcW w:w="14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616177</w:t>
            </w:r>
          </w:p>
        </w:tc>
        <w:tc>
          <w:tcPr>
            <w:tcW w:w="1442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18.8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商品房销售金额</w:t>
            </w:r>
          </w:p>
        </w:tc>
        <w:tc>
          <w:tcPr>
            <w:tcW w:w="11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1037290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1260722</w:t>
            </w: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21.5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住宅</w:t>
            </w:r>
          </w:p>
        </w:tc>
        <w:tc>
          <w:tcPr>
            <w:tcW w:w="11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1012545</w:t>
            </w:r>
          </w:p>
        </w:tc>
        <w:tc>
          <w:tcPr>
            <w:tcW w:w="14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1236458</w:t>
            </w:r>
          </w:p>
        </w:tc>
        <w:tc>
          <w:tcPr>
            <w:tcW w:w="1442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22.1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2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商品住宅销售套数</w:t>
            </w:r>
          </w:p>
        </w:tc>
        <w:tc>
          <w:tcPr>
            <w:tcW w:w="1154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套</w:t>
            </w: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ind w:firstLine="240" w:firstLineChars="100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4590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5176</w:t>
            </w:r>
          </w:p>
        </w:tc>
        <w:tc>
          <w:tcPr>
            <w:tcW w:w="1442" w:type="dxa"/>
            <w:tcBorders>
              <w:top w:val="single" w:color="auto" w:sz="4" w:space="0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12.8 </w:t>
            </w:r>
          </w:p>
        </w:tc>
      </w:tr>
    </w:tbl>
    <w:p>
      <w:pPr>
        <w:spacing w:before="312" w:beforeLines="100"/>
        <w:ind w:left="-141" w:leftChars="-67" w:right="-764" w:rightChars="-364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固定资产投资完成情况</w:t>
      </w:r>
    </w:p>
    <w:p>
      <w:pPr>
        <w:ind w:right="-151" w:rightChars="-72"/>
        <w:jc w:val="righ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单位</w:t>
      </w:r>
      <w:r>
        <w:rPr>
          <w:rFonts w:ascii="宋体" w:hAnsi="宋体"/>
          <w:sz w:val="24"/>
          <w:szCs w:val="24"/>
        </w:rPr>
        <w:t>:</w:t>
      </w:r>
      <w:r>
        <w:rPr>
          <w:rFonts w:hint="eastAsia" w:ascii="宋体" w:hAnsi="宋体"/>
          <w:sz w:val="24"/>
          <w:szCs w:val="24"/>
        </w:rPr>
        <w:t>万元</w:t>
      </w:r>
    </w:p>
    <w:tbl>
      <w:tblPr>
        <w:tblStyle w:val="2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24"/>
        <w:gridCol w:w="1663"/>
        <w:gridCol w:w="1565"/>
        <w:gridCol w:w="16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4" w:type="dxa"/>
            <w:tcBorders>
              <w:left w:val="nil"/>
            </w:tcBorders>
            <w:vAlign w:val="center"/>
          </w:tcPr>
          <w:p>
            <w:pPr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1663" w:type="dxa"/>
          </w:tcPr>
          <w:p>
            <w:pPr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1565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1670" w:type="dxa"/>
            <w:tcBorders>
              <w:right w:val="nil"/>
            </w:tcBorders>
            <w:vAlign w:val="bottom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同比增长（%）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4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 w:cs="Arial Unicode MS"/>
                <w:color w:val="FF0000"/>
                <w:sz w:val="24"/>
                <w:szCs w:val="24"/>
              </w:rPr>
            </w:pPr>
            <w:bookmarkStart w:id="1" w:name="_GoBack"/>
            <w:r>
              <w:rPr>
                <w:rFonts w:hint="eastAsia" w:ascii="宋体" w:hAnsi="宋体"/>
                <w:color w:val="FF0000"/>
                <w:sz w:val="24"/>
                <w:szCs w:val="24"/>
              </w:rPr>
              <w:t>固定资产投资总额</w:t>
            </w:r>
          </w:p>
        </w:tc>
        <w:tc>
          <w:tcPr>
            <w:tcW w:w="1663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565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670" w:type="dxa"/>
            <w:tcBorders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10.6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4" w:type="dxa"/>
            <w:tcBorders>
              <w:left w:val="nil"/>
            </w:tcBorders>
            <w:vAlign w:val="center"/>
          </w:tcPr>
          <w:p>
            <w:pPr>
              <w:ind w:firstLine="180" w:firstLineChars="75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第二产业</w:t>
            </w:r>
          </w:p>
        </w:tc>
        <w:tc>
          <w:tcPr>
            <w:tcW w:w="1663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565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670" w:type="dxa"/>
            <w:tcBorders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5.8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4" w:type="dxa"/>
            <w:tcBorders>
              <w:left w:val="nil"/>
            </w:tcBorders>
            <w:vAlign w:val="center"/>
          </w:tcPr>
          <w:p>
            <w:pPr>
              <w:ind w:firstLine="360" w:firstLineChars="150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ascii="宋体" w:hAnsi="宋体"/>
                <w:color w:val="FF0000"/>
                <w:sz w:val="24"/>
                <w:szCs w:val="24"/>
                <w:vertAlign w:val="superscript"/>
              </w:rPr>
              <w:t>#</w:t>
            </w:r>
            <w:r>
              <w:rPr>
                <w:rFonts w:hint="eastAsia" w:ascii="宋体" w:hAnsi="宋体"/>
                <w:color w:val="FF0000"/>
                <w:sz w:val="24"/>
                <w:szCs w:val="24"/>
              </w:rPr>
              <w:t>工业</w:t>
            </w:r>
          </w:p>
        </w:tc>
        <w:tc>
          <w:tcPr>
            <w:tcW w:w="1663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565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670" w:type="dxa"/>
            <w:tcBorders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5.8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4" w:type="dxa"/>
            <w:tcBorders>
              <w:left w:val="nil"/>
            </w:tcBorders>
            <w:vAlign w:val="center"/>
          </w:tcPr>
          <w:p>
            <w:pPr>
              <w:ind w:firstLine="180" w:firstLineChars="75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第三产业</w:t>
            </w:r>
          </w:p>
        </w:tc>
        <w:tc>
          <w:tcPr>
            <w:tcW w:w="1663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565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670" w:type="dxa"/>
            <w:tcBorders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>20.7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624" w:type="dxa"/>
            <w:tcBorders>
              <w:left w:val="nil"/>
            </w:tcBorders>
            <w:vAlign w:val="center"/>
          </w:tcPr>
          <w:p>
            <w:pPr>
              <w:ind w:firstLine="180" w:firstLineChars="75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外商及港澳台投资企业</w:t>
            </w:r>
          </w:p>
        </w:tc>
        <w:tc>
          <w:tcPr>
            <w:tcW w:w="1663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565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670" w:type="dxa"/>
            <w:tcBorders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9.5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4" w:type="dxa"/>
            <w:tcBorders>
              <w:left w:val="nil"/>
            </w:tcBorders>
            <w:vAlign w:val="center"/>
          </w:tcPr>
          <w:p>
            <w:pPr>
              <w:ind w:firstLine="180" w:firstLineChars="75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  <w:sz w:val="24"/>
                <w:szCs w:val="24"/>
              </w:rPr>
              <w:t>基础设施及公建</w:t>
            </w:r>
          </w:p>
        </w:tc>
        <w:tc>
          <w:tcPr>
            <w:tcW w:w="1663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565" w:type="dxa"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color w:val="FF0000"/>
              </w:rPr>
              <w:t>--</w:t>
            </w:r>
          </w:p>
        </w:tc>
        <w:tc>
          <w:tcPr>
            <w:tcW w:w="1670" w:type="dxa"/>
            <w:tcBorders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-17.0 </w:t>
            </w:r>
          </w:p>
        </w:tc>
      </w:tr>
      <w:bookmarkEnd w:id="1"/>
    </w:tbl>
    <w:p>
      <w:pPr>
        <w:spacing w:before="312" w:beforeLines="100"/>
        <w:ind w:right="-1094"/>
        <w:rPr>
          <w:rFonts w:ascii="宋体" w:hAnsi="宋体"/>
          <w:b/>
          <w:sz w:val="32"/>
        </w:rPr>
      </w:pPr>
    </w:p>
    <w:p>
      <w:pPr>
        <w:spacing w:before="312" w:beforeLines="100"/>
        <w:ind w:left="-108" w:right="-1094"/>
        <w:jc w:val="center"/>
        <w:rPr>
          <w:rFonts w:ascii="宋体" w:hAnsi="宋体"/>
          <w:b/>
          <w:sz w:val="32"/>
        </w:rPr>
      </w:pPr>
      <w:r>
        <w:rPr>
          <w:rFonts w:hint="eastAsia" w:ascii="宋体" w:hAnsi="宋体"/>
          <w:b/>
          <w:sz w:val="32"/>
        </w:rPr>
        <w:t>基础设施形成能力</w:t>
      </w:r>
    </w:p>
    <w:tbl>
      <w:tblPr>
        <w:tblStyle w:val="2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47"/>
        <w:gridCol w:w="1703"/>
        <w:gridCol w:w="32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3547" w:type="dxa"/>
            <w:tcBorders>
              <w:left w:val="nil"/>
            </w:tcBorders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1703" w:type="dxa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</w:t>
            </w:r>
          </w:p>
        </w:tc>
        <w:tc>
          <w:tcPr>
            <w:tcW w:w="3272" w:type="dxa"/>
            <w:tcBorders>
              <w:right w:val="nil"/>
            </w:tcBorders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2021年末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47" w:type="dxa"/>
            <w:tcBorders>
              <w:left w:val="nil"/>
            </w:tcBorders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道路长度</w:t>
            </w:r>
          </w:p>
        </w:tc>
        <w:tc>
          <w:tcPr>
            <w:tcW w:w="1703" w:type="dxa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公里</w:t>
            </w:r>
          </w:p>
        </w:tc>
        <w:tc>
          <w:tcPr>
            <w:tcW w:w="3272" w:type="dxa"/>
            <w:tcBorders>
              <w:right w:val="nil"/>
            </w:tcBorders>
          </w:tcPr>
          <w:p>
            <w:pPr>
              <w:wordWrap w:val="0"/>
              <w:autoSpaceDE w:val="0"/>
              <w:autoSpaceDN w:val="0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704.18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47" w:type="dxa"/>
            <w:tcBorders>
              <w:left w:val="nil"/>
            </w:tcBorders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道路面积</w:t>
            </w:r>
          </w:p>
        </w:tc>
        <w:tc>
          <w:tcPr>
            <w:tcW w:w="1703" w:type="dxa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万平方米</w:t>
            </w:r>
          </w:p>
        </w:tc>
        <w:tc>
          <w:tcPr>
            <w:tcW w:w="3272" w:type="dxa"/>
            <w:tcBorders>
              <w:right w:val="nil"/>
            </w:tcBorders>
          </w:tcPr>
          <w:p>
            <w:pPr>
              <w:wordWrap w:val="0"/>
              <w:autoSpaceDE w:val="0"/>
              <w:autoSpaceDN w:val="0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1542.30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47" w:type="dxa"/>
            <w:tcBorders>
              <w:left w:val="nil"/>
            </w:tcBorders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桥梁</w:t>
            </w:r>
          </w:p>
        </w:tc>
        <w:tc>
          <w:tcPr>
            <w:tcW w:w="1703" w:type="dxa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座</w:t>
            </w:r>
          </w:p>
        </w:tc>
        <w:tc>
          <w:tcPr>
            <w:tcW w:w="3272" w:type="dxa"/>
            <w:tcBorders>
              <w:right w:val="nil"/>
            </w:tcBorders>
          </w:tcPr>
          <w:p>
            <w:pPr>
              <w:wordWrap w:val="0"/>
              <w:autoSpaceDE w:val="0"/>
              <w:autoSpaceDN w:val="0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47" w:type="dxa"/>
            <w:tcBorders>
              <w:left w:val="nil"/>
            </w:tcBorders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桥梁长度</w:t>
            </w:r>
          </w:p>
        </w:tc>
        <w:tc>
          <w:tcPr>
            <w:tcW w:w="1703" w:type="dxa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公里</w:t>
            </w:r>
          </w:p>
        </w:tc>
        <w:tc>
          <w:tcPr>
            <w:tcW w:w="3272" w:type="dxa"/>
            <w:tcBorders>
              <w:right w:val="nil"/>
            </w:tcBorders>
          </w:tcPr>
          <w:p>
            <w:pPr>
              <w:wordWrap w:val="0"/>
              <w:autoSpaceDE w:val="0"/>
              <w:autoSpaceDN w:val="0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24.76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47" w:type="dxa"/>
            <w:tcBorders>
              <w:left w:val="nil"/>
            </w:tcBorders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排水泵站</w:t>
            </w:r>
          </w:p>
        </w:tc>
        <w:tc>
          <w:tcPr>
            <w:tcW w:w="1703" w:type="dxa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座</w:t>
            </w:r>
          </w:p>
        </w:tc>
        <w:tc>
          <w:tcPr>
            <w:tcW w:w="3272" w:type="dxa"/>
            <w:tcBorders>
              <w:right w:val="nil"/>
            </w:tcBorders>
          </w:tcPr>
          <w:p>
            <w:pPr>
              <w:wordWrap w:val="0"/>
              <w:autoSpaceDE w:val="0"/>
              <w:autoSpaceDN w:val="0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3547" w:type="dxa"/>
            <w:tcBorders>
              <w:left w:val="nil"/>
            </w:tcBorders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排水管网</w:t>
            </w:r>
          </w:p>
        </w:tc>
        <w:tc>
          <w:tcPr>
            <w:tcW w:w="1703" w:type="dxa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公里</w:t>
            </w:r>
          </w:p>
        </w:tc>
        <w:tc>
          <w:tcPr>
            <w:tcW w:w="3272" w:type="dxa"/>
            <w:tcBorders>
              <w:right w:val="nil"/>
            </w:tcBorders>
          </w:tcPr>
          <w:p>
            <w:pPr>
              <w:autoSpaceDE w:val="0"/>
              <w:autoSpaceDN w:val="0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1916.38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47" w:type="dxa"/>
            <w:tcBorders>
              <w:left w:val="nil"/>
            </w:tcBorders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雨水总排放能力</w:t>
            </w:r>
          </w:p>
        </w:tc>
        <w:tc>
          <w:tcPr>
            <w:tcW w:w="1703" w:type="dxa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立方米/秒</w:t>
            </w:r>
          </w:p>
        </w:tc>
        <w:tc>
          <w:tcPr>
            <w:tcW w:w="3272" w:type="dxa"/>
            <w:tcBorders>
              <w:right w:val="nil"/>
            </w:tcBorders>
          </w:tcPr>
          <w:p>
            <w:pPr>
              <w:autoSpaceDE w:val="0"/>
              <w:autoSpaceDN w:val="0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585.10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47" w:type="dxa"/>
            <w:tcBorders>
              <w:left w:val="nil"/>
            </w:tcBorders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污水总排放能力</w:t>
            </w:r>
          </w:p>
        </w:tc>
        <w:tc>
          <w:tcPr>
            <w:tcW w:w="1703" w:type="dxa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立方米/秒</w:t>
            </w:r>
          </w:p>
        </w:tc>
        <w:tc>
          <w:tcPr>
            <w:tcW w:w="3272" w:type="dxa"/>
            <w:tcBorders>
              <w:right w:val="nil"/>
            </w:tcBorders>
          </w:tcPr>
          <w:p>
            <w:pPr>
              <w:autoSpaceDE w:val="0"/>
              <w:autoSpaceDN w:val="0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30.96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47" w:type="dxa"/>
            <w:tcBorders>
              <w:left w:val="nil"/>
            </w:tcBorders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供自来水</w:t>
            </w:r>
          </w:p>
        </w:tc>
        <w:tc>
          <w:tcPr>
            <w:tcW w:w="1703" w:type="dxa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万吨</w:t>
            </w:r>
            <w:r>
              <w:rPr>
                <w:rFonts w:ascii="宋体" w:hAnsi="宋体"/>
                <w:sz w:val="24"/>
                <w:szCs w:val="24"/>
              </w:rPr>
              <w:t>/</w:t>
            </w:r>
            <w:r>
              <w:rPr>
                <w:rFonts w:hint="eastAsia" w:ascii="宋体" w:hAnsi="宋体"/>
                <w:sz w:val="24"/>
                <w:szCs w:val="24"/>
              </w:rPr>
              <w:t>日</w:t>
            </w:r>
          </w:p>
        </w:tc>
        <w:tc>
          <w:tcPr>
            <w:tcW w:w="3272" w:type="dxa"/>
            <w:tcBorders>
              <w:right w:val="nil"/>
            </w:tcBorders>
          </w:tcPr>
          <w:p>
            <w:pPr>
              <w:autoSpaceDE w:val="0"/>
              <w:autoSpaceDN w:val="0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67.99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47" w:type="dxa"/>
            <w:tcBorders>
              <w:left w:val="nil"/>
            </w:tcBorders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污水处理</w:t>
            </w:r>
          </w:p>
        </w:tc>
        <w:tc>
          <w:tcPr>
            <w:tcW w:w="1703" w:type="dxa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万吨/日</w:t>
            </w:r>
          </w:p>
        </w:tc>
        <w:tc>
          <w:tcPr>
            <w:tcW w:w="3272" w:type="dxa"/>
            <w:tcBorders>
              <w:right w:val="nil"/>
            </w:tcBorders>
          </w:tcPr>
          <w:p>
            <w:pPr>
              <w:autoSpaceDE w:val="0"/>
              <w:autoSpaceDN w:val="0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17.15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47" w:type="dxa"/>
            <w:tcBorders>
              <w:left w:val="nil"/>
            </w:tcBorders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供电</w:t>
            </w:r>
          </w:p>
        </w:tc>
        <w:tc>
          <w:tcPr>
            <w:tcW w:w="1703" w:type="dxa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兆伏安</w:t>
            </w:r>
          </w:p>
        </w:tc>
        <w:tc>
          <w:tcPr>
            <w:tcW w:w="3272" w:type="dxa"/>
            <w:tcBorders>
              <w:right w:val="nil"/>
            </w:tcBorders>
          </w:tcPr>
          <w:p>
            <w:pPr>
              <w:autoSpaceDE w:val="0"/>
              <w:autoSpaceDN w:val="0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3781.84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47" w:type="dxa"/>
            <w:tcBorders>
              <w:left w:val="nil"/>
            </w:tcBorders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供热</w:t>
            </w:r>
          </w:p>
        </w:tc>
        <w:tc>
          <w:tcPr>
            <w:tcW w:w="1703" w:type="dxa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吨</w:t>
            </w:r>
            <w:r>
              <w:rPr>
                <w:rFonts w:ascii="宋体" w:hAnsi="宋体"/>
                <w:sz w:val="24"/>
                <w:szCs w:val="24"/>
              </w:rPr>
              <w:t>/</w:t>
            </w:r>
            <w:r>
              <w:rPr>
                <w:rFonts w:hint="eastAsia" w:ascii="宋体" w:hAnsi="宋体"/>
                <w:sz w:val="24"/>
                <w:szCs w:val="24"/>
              </w:rPr>
              <w:t>小时</w:t>
            </w:r>
          </w:p>
        </w:tc>
        <w:tc>
          <w:tcPr>
            <w:tcW w:w="3272" w:type="dxa"/>
            <w:tcBorders>
              <w:right w:val="nil"/>
            </w:tcBorders>
          </w:tcPr>
          <w:p>
            <w:pPr>
              <w:autoSpaceDE w:val="0"/>
              <w:autoSpaceDN w:val="0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3697.50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47" w:type="dxa"/>
            <w:tcBorders>
              <w:left w:val="nil"/>
            </w:tcBorders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供燃气</w:t>
            </w:r>
          </w:p>
        </w:tc>
        <w:tc>
          <w:tcPr>
            <w:tcW w:w="1703" w:type="dxa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万立方米</w:t>
            </w:r>
            <w:r>
              <w:rPr>
                <w:rFonts w:ascii="宋体" w:hAnsi="宋体"/>
                <w:sz w:val="24"/>
                <w:szCs w:val="24"/>
              </w:rPr>
              <w:t>/</w:t>
            </w:r>
            <w:r>
              <w:rPr>
                <w:rFonts w:hint="eastAsia" w:ascii="宋体" w:hAnsi="宋体"/>
                <w:sz w:val="24"/>
                <w:szCs w:val="24"/>
              </w:rPr>
              <w:t>日</w:t>
            </w:r>
          </w:p>
        </w:tc>
        <w:tc>
          <w:tcPr>
            <w:tcW w:w="3272" w:type="dxa"/>
            <w:tcBorders>
              <w:right w:val="nil"/>
            </w:tcBorders>
          </w:tcPr>
          <w:p>
            <w:pPr>
              <w:autoSpaceDE w:val="0"/>
              <w:autoSpaceDN w:val="0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686.58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47" w:type="dxa"/>
            <w:tcBorders>
              <w:left w:val="nil"/>
            </w:tcBorders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发电</w:t>
            </w:r>
          </w:p>
        </w:tc>
        <w:tc>
          <w:tcPr>
            <w:tcW w:w="1703" w:type="dxa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万千瓦/时</w:t>
            </w:r>
          </w:p>
        </w:tc>
        <w:tc>
          <w:tcPr>
            <w:tcW w:w="3272" w:type="dxa"/>
            <w:tcBorders>
              <w:right w:val="nil"/>
            </w:tcBorders>
          </w:tcPr>
          <w:p>
            <w:pPr>
              <w:autoSpaceDE w:val="0"/>
              <w:autoSpaceDN w:val="0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71.23</w:t>
            </w:r>
          </w:p>
        </w:tc>
      </w:tr>
    </w:tbl>
    <w:p>
      <w:pPr>
        <w:rPr>
          <w:rFonts w:ascii="宋体" w:hAnsi="宋体"/>
          <w:b/>
          <w:sz w:val="32"/>
        </w:rPr>
      </w:pPr>
    </w:p>
    <w:p>
      <w:pPr>
        <w:spacing w:before="312" w:beforeLines="100"/>
        <w:ind w:left="-630" w:leftChars="-300" w:right="-465"/>
        <w:jc w:val="center"/>
        <w:rPr>
          <w:rFonts w:ascii="宋体" w:hAnsi="宋体"/>
          <w:b/>
          <w:sz w:val="32"/>
        </w:rPr>
      </w:pPr>
      <w:r>
        <w:rPr>
          <w:rFonts w:hint="eastAsia" w:ascii="宋体" w:hAnsi="宋体"/>
          <w:b/>
          <w:sz w:val="32"/>
        </w:rPr>
        <w:t>城市建设及公用事业</w:t>
      </w:r>
    </w:p>
    <w:tbl>
      <w:tblPr>
        <w:tblStyle w:val="2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5"/>
        <w:gridCol w:w="2693"/>
        <w:gridCol w:w="25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5" w:type="dxa"/>
            <w:tcBorders>
              <w:left w:val="nil"/>
            </w:tcBorders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2693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</w:t>
            </w:r>
          </w:p>
        </w:tc>
        <w:tc>
          <w:tcPr>
            <w:tcW w:w="2562" w:type="dxa"/>
            <w:tcBorders>
              <w:right w:val="nil"/>
            </w:tcBorders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2021年末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5" w:type="dxa"/>
            <w:tcBorders>
              <w:left w:val="nil"/>
            </w:tcBorders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建成区面积</w:t>
            </w:r>
          </w:p>
        </w:tc>
        <w:tc>
          <w:tcPr>
            <w:tcW w:w="2693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平方公里</w:t>
            </w:r>
          </w:p>
        </w:tc>
        <w:tc>
          <w:tcPr>
            <w:tcW w:w="2562" w:type="dxa"/>
            <w:tcBorders>
              <w:right w:val="nil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120.32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5" w:type="dxa"/>
            <w:tcBorders>
              <w:left w:val="nil"/>
            </w:tcBorders>
          </w:tcPr>
          <w:p>
            <w:pPr>
              <w:ind w:firstLine="180" w:firstLineChars="7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其中：工业用地</w:t>
            </w:r>
          </w:p>
        </w:tc>
        <w:tc>
          <w:tcPr>
            <w:tcW w:w="2693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平方公里</w:t>
            </w:r>
          </w:p>
        </w:tc>
        <w:tc>
          <w:tcPr>
            <w:tcW w:w="2562" w:type="dxa"/>
            <w:tcBorders>
              <w:right w:val="nil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76.31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5" w:type="dxa"/>
            <w:tcBorders>
              <w:left w:val="nil"/>
            </w:tcBorders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绿地面积</w:t>
            </w:r>
          </w:p>
        </w:tc>
        <w:tc>
          <w:tcPr>
            <w:tcW w:w="2693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万平方米</w:t>
            </w:r>
          </w:p>
        </w:tc>
        <w:tc>
          <w:tcPr>
            <w:tcW w:w="2562" w:type="dxa"/>
            <w:tcBorders>
              <w:right w:val="nil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3163.10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5" w:type="dxa"/>
            <w:tcBorders>
              <w:left w:val="nil"/>
            </w:tcBorders>
          </w:tcPr>
          <w:p>
            <w:pPr>
              <w:ind w:firstLine="180" w:firstLineChars="7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其中：公园</w:t>
            </w:r>
          </w:p>
        </w:tc>
        <w:tc>
          <w:tcPr>
            <w:tcW w:w="2693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万平方米</w:t>
            </w:r>
          </w:p>
        </w:tc>
        <w:tc>
          <w:tcPr>
            <w:tcW w:w="2562" w:type="dxa"/>
            <w:tcBorders>
              <w:right w:val="nil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406.11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5" w:type="dxa"/>
            <w:tcBorders>
              <w:left w:val="nil"/>
            </w:tcBorders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人均绿地面积</w:t>
            </w:r>
          </w:p>
        </w:tc>
        <w:tc>
          <w:tcPr>
            <w:tcW w:w="2693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平方米</w:t>
            </w:r>
          </w:p>
        </w:tc>
        <w:tc>
          <w:tcPr>
            <w:tcW w:w="2562" w:type="dxa"/>
            <w:tcBorders>
              <w:right w:val="nil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217.07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5" w:type="dxa"/>
            <w:tcBorders>
              <w:left w:val="nil"/>
            </w:tcBorders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年末实有树木</w:t>
            </w:r>
          </w:p>
        </w:tc>
        <w:tc>
          <w:tcPr>
            <w:tcW w:w="2693" w:type="dxa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万株</w:t>
            </w:r>
          </w:p>
        </w:tc>
        <w:tc>
          <w:tcPr>
            <w:tcW w:w="2562" w:type="dxa"/>
            <w:tcBorders>
              <w:right w:val="nil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623.30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5" w:type="dxa"/>
            <w:tcBorders>
              <w:left w:val="nil"/>
            </w:tcBorders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自来水售水量</w:t>
            </w:r>
          </w:p>
        </w:tc>
        <w:tc>
          <w:tcPr>
            <w:tcW w:w="2693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万吨</w:t>
            </w:r>
          </w:p>
        </w:tc>
        <w:tc>
          <w:tcPr>
            <w:tcW w:w="2562" w:type="dxa"/>
            <w:tcBorders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6527.85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5" w:type="dxa"/>
            <w:tcBorders>
              <w:left w:val="nil"/>
            </w:tcBorders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再生水售水量</w:t>
            </w:r>
          </w:p>
        </w:tc>
        <w:tc>
          <w:tcPr>
            <w:tcW w:w="2693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万吨</w:t>
            </w:r>
          </w:p>
        </w:tc>
        <w:tc>
          <w:tcPr>
            <w:tcW w:w="2562" w:type="dxa"/>
            <w:tcBorders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441.09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5" w:type="dxa"/>
            <w:tcBorders>
              <w:left w:val="nil"/>
            </w:tcBorders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售电量</w:t>
            </w:r>
          </w:p>
        </w:tc>
        <w:tc>
          <w:tcPr>
            <w:tcW w:w="2693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亿千瓦时</w:t>
            </w:r>
          </w:p>
        </w:tc>
        <w:tc>
          <w:tcPr>
            <w:tcW w:w="2562" w:type="dxa"/>
            <w:tcBorders>
              <w:right w:val="nil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75.70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5" w:type="dxa"/>
            <w:tcBorders>
              <w:left w:val="nil"/>
            </w:tcBorders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天然气供应量</w:t>
            </w:r>
          </w:p>
        </w:tc>
        <w:tc>
          <w:tcPr>
            <w:tcW w:w="2693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亿立方米</w:t>
            </w:r>
          </w:p>
        </w:tc>
        <w:tc>
          <w:tcPr>
            <w:tcW w:w="2562" w:type="dxa"/>
            <w:tcBorders>
              <w:right w:val="nil"/>
            </w:tcBorders>
          </w:tcPr>
          <w:p>
            <w:pPr>
              <w:jc w:val="righ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3.46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5" w:type="dxa"/>
            <w:tcBorders>
              <w:left w:val="nil"/>
            </w:tcBorders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供热总量</w:t>
            </w:r>
          </w:p>
        </w:tc>
        <w:tc>
          <w:tcPr>
            <w:tcW w:w="2693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万吨</w:t>
            </w:r>
          </w:p>
        </w:tc>
        <w:tc>
          <w:tcPr>
            <w:tcW w:w="2562" w:type="dxa"/>
            <w:tcBorders>
              <w:right w:val="nil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598.34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5" w:type="dxa"/>
            <w:tcBorders>
              <w:left w:val="nil"/>
            </w:tcBorders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污水处理量</w:t>
            </w:r>
          </w:p>
        </w:tc>
        <w:tc>
          <w:tcPr>
            <w:tcW w:w="2693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万立方米</w:t>
            </w:r>
          </w:p>
        </w:tc>
        <w:tc>
          <w:tcPr>
            <w:tcW w:w="2562" w:type="dxa"/>
            <w:tcBorders>
              <w:right w:val="nil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5181.43</w:t>
            </w:r>
          </w:p>
        </w:tc>
      </w:tr>
    </w:tbl>
    <w:p>
      <w:pPr>
        <w:spacing w:before="312" w:beforeLines="100"/>
        <w:ind w:right="-624" w:rightChars="-297"/>
        <w:jc w:val="center"/>
        <w:rPr>
          <w:rFonts w:ascii="宋体" w:hAnsi="宋体"/>
          <w:sz w:val="18"/>
          <w:szCs w:val="18"/>
        </w:rPr>
      </w:pPr>
      <w:r>
        <w:rPr>
          <w:rFonts w:hint="eastAsia" w:ascii="宋体" w:hAnsi="宋体"/>
          <w:b/>
          <w:sz w:val="32"/>
          <w:szCs w:val="32"/>
        </w:rPr>
        <w:t>节能减排</w:t>
      </w:r>
    </w:p>
    <w:tbl>
      <w:tblPr>
        <w:tblStyle w:val="20"/>
        <w:tblW w:w="885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48"/>
        <w:gridCol w:w="1441"/>
        <w:gridCol w:w="1233"/>
        <w:gridCol w:w="1320"/>
        <w:gridCol w:w="15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3348" w:type="dxa"/>
            <w:tcBorders>
              <w:lef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</w:t>
            </w:r>
          </w:p>
        </w:tc>
        <w:tc>
          <w:tcPr>
            <w:tcW w:w="1233" w:type="dxa"/>
            <w:tcBorders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1320" w:type="dxa"/>
            <w:tcBorders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1515" w:type="dxa"/>
            <w:tcBorders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同比增长（%）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3348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万元生产总值能耗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公斤标准煤</w:t>
            </w:r>
          </w:p>
        </w:tc>
        <w:tc>
          <w:tcPr>
            <w:tcW w:w="1233" w:type="dxa"/>
            <w:tcBorders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302.2</w:t>
            </w:r>
          </w:p>
        </w:tc>
        <w:tc>
          <w:tcPr>
            <w:tcW w:w="1320" w:type="dxa"/>
            <w:tcBorders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319.0</w:t>
            </w:r>
          </w:p>
        </w:tc>
        <w:tc>
          <w:tcPr>
            <w:tcW w:w="1515" w:type="dxa"/>
            <w:tcBorders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5.6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3348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万元生产总值电耗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千瓦时</w:t>
            </w:r>
          </w:p>
        </w:tc>
        <w:tc>
          <w:tcPr>
            <w:tcW w:w="1233" w:type="dxa"/>
            <w:tcBorders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方正姚体" w:hAnsi="方正姚体" w:eastAsia="方正姚体" w:cs="方正姚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396.8</w:t>
            </w:r>
          </w:p>
        </w:tc>
        <w:tc>
          <w:tcPr>
            <w:tcW w:w="1320" w:type="dxa"/>
            <w:tcBorders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404.2</w:t>
            </w:r>
          </w:p>
        </w:tc>
        <w:tc>
          <w:tcPr>
            <w:tcW w:w="1515" w:type="dxa"/>
            <w:tcBorders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1.9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3348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万元生产总值新鲜水消耗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立方米</w:t>
            </w:r>
          </w:p>
        </w:tc>
        <w:tc>
          <w:tcPr>
            <w:tcW w:w="1233" w:type="dxa"/>
            <w:tcBorders>
              <w:right w:val="nil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4.1</w:t>
            </w:r>
          </w:p>
        </w:tc>
        <w:tc>
          <w:tcPr>
            <w:tcW w:w="1320" w:type="dxa"/>
            <w:tcBorders>
              <w:right w:val="nil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4.2</w:t>
            </w:r>
          </w:p>
        </w:tc>
        <w:tc>
          <w:tcPr>
            <w:tcW w:w="1515" w:type="dxa"/>
            <w:tcBorders>
              <w:right w:val="nil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2.3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3348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万元生产总值固体废物产生量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公斤</w:t>
            </w:r>
          </w:p>
        </w:tc>
        <w:tc>
          <w:tcPr>
            <w:tcW w:w="1233" w:type="dxa"/>
            <w:tcBorders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65.0</w:t>
            </w:r>
          </w:p>
        </w:tc>
        <w:tc>
          <w:tcPr>
            <w:tcW w:w="1320" w:type="dxa"/>
            <w:tcBorders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66.3</w:t>
            </w:r>
          </w:p>
        </w:tc>
        <w:tc>
          <w:tcPr>
            <w:tcW w:w="1515" w:type="dxa"/>
            <w:tcBorders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exact"/>
          <w:jc w:val="center"/>
        </w:trPr>
        <w:tc>
          <w:tcPr>
            <w:tcW w:w="3348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万元工业增加值能耗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公斤标准煤</w:t>
            </w:r>
          </w:p>
        </w:tc>
        <w:tc>
          <w:tcPr>
            <w:tcW w:w="1233" w:type="dxa"/>
            <w:tcBorders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453.9</w:t>
            </w:r>
          </w:p>
        </w:tc>
        <w:tc>
          <w:tcPr>
            <w:tcW w:w="1320" w:type="dxa"/>
            <w:tcBorders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481.4</w:t>
            </w:r>
          </w:p>
        </w:tc>
        <w:tc>
          <w:tcPr>
            <w:tcW w:w="1515" w:type="dxa"/>
            <w:tcBorders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6.1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3348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万元工业增加值电耗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千瓦时</w:t>
            </w:r>
          </w:p>
        </w:tc>
        <w:tc>
          <w:tcPr>
            <w:tcW w:w="1233" w:type="dxa"/>
            <w:tcBorders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60.7</w:t>
            </w:r>
          </w:p>
        </w:tc>
        <w:tc>
          <w:tcPr>
            <w:tcW w:w="1320" w:type="dxa"/>
            <w:tcBorders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61.7</w:t>
            </w:r>
          </w:p>
        </w:tc>
        <w:tc>
          <w:tcPr>
            <w:tcW w:w="1515" w:type="dxa"/>
            <w:tcBorders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1.7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3348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万元工业增加值新鲜水消耗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立方米</w:t>
            </w:r>
          </w:p>
        </w:tc>
        <w:tc>
          <w:tcPr>
            <w:tcW w:w="1233" w:type="dxa"/>
            <w:tcBorders>
              <w:right w:val="nil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5.0</w:t>
            </w:r>
          </w:p>
        </w:tc>
        <w:tc>
          <w:tcPr>
            <w:tcW w:w="1320" w:type="dxa"/>
            <w:tcBorders>
              <w:right w:val="nil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5.2</w:t>
            </w:r>
          </w:p>
        </w:tc>
        <w:tc>
          <w:tcPr>
            <w:tcW w:w="1515" w:type="dxa"/>
            <w:tcBorders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3.9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3348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万元工业增加值废水排放量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吨</w:t>
            </w:r>
          </w:p>
        </w:tc>
        <w:tc>
          <w:tcPr>
            <w:tcW w:w="1233" w:type="dxa"/>
            <w:tcBorders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1.36</w:t>
            </w:r>
          </w:p>
        </w:tc>
        <w:tc>
          <w:tcPr>
            <w:tcW w:w="1320" w:type="dxa"/>
            <w:tcBorders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1.29</w:t>
            </w:r>
          </w:p>
        </w:tc>
        <w:tc>
          <w:tcPr>
            <w:tcW w:w="1515" w:type="dxa"/>
            <w:tcBorders>
              <w:right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bidi="ar"/>
              </w:rPr>
              <w:t>-5.1</w:t>
            </w:r>
          </w:p>
        </w:tc>
      </w:tr>
    </w:tbl>
    <w:p>
      <w:pPr>
        <w:spacing w:before="312" w:beforeLines="100"/>
        <w:ind w:left="-1050" w:leftChars="-500" w:right="-1050" w:rightChars="-500"/>
        <w:jc w:val="center"/>
        <w:rPr>
          <w:rFonts w:ascii="宋体" w:hAnsi="宋体"/>
          <w:b/>
          <w:sz w:val="32"/>
          <w:szCs w:val="32"/>
        </w:rPr>
      </w:pPr>
    </w:p>
    <w:p>
      <w:pPr>
        <w:spacing w:before="312" w:beforeLines="100"/>
        <w:ind w:left="-1050" w:leftChars="-500" w:right="-1050" w:rightChars="-500"/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环境保护</w:t>
      </w:r>
    </w:p>
    <w:tbl>
      <w:tblPr>
        <w:tblStyle w:val="2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88"/>
        <w:gridCol w:w="1842"/>
        <w:gridCol w:w="18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88" w:type="dxa"/>
            <w:tcBorders>
              <w:lef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指标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单位</w:t>
            </w:r>
          </w:p>
        </w:tc>
        <w:tc>
          <w:tcPr>
            <w:tcW w:w="1892" w:type="dxa"/>
            <w:tcBorders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2021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88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细颗粒物(PM</w:t>
            </w:r>
            <w:r>
              <w:rPr>
                <w:rFonts w:hint="eastAsia" w:ascii="宋体" w:hAnsi="宋体"/>
                <w:sz w:val="24"/>
                <w:vertAlign w:val="subscript"/>
              </w:rPr>
              <w:t>2.5</w:t>
            </w:r>
            <w:r>
              <w:rPr>
                <w:rFonts w:hint="eastAsia" w:ascii="宋体" w:hAnsi="宋体"/>
                <w:sz w:val="24"/>
              </w:rPr>
              <w:t xml:space="preserve">)年均浓度 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微克/立方米</w:t>
            </w:r>
          </w:p>
        </w:tc>
        <w:tc>
          <w:tcPr>
            <w:tcW w:w="1892" w:type="dxa"/>
            <w:tcBorders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88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可吸入</w:t>
            </w:r>
            <w:r>
              <w:rPr>
                <w:rFonts w:ascii="宋体" w:hAnsi="宋体"/>
                <w:sz w:val="24"/>
              </w:rPr>
              <w:t>颗粒</w:t>
            </w:r>
            <w:r>
              <w:rPr>
                <w:rFonts w:hint="eastAsia" w:ascii="宋体" w:hAnsi="宋体"/>
                <w:sz w:val="24"/>
              </w:rPr>
              <w:t>物（PM</w:t>
            </w:r>
            <w:r>
              <w:rPr>
                <w:rFonts w:hint="eastAsia" w:ascii="宋体" w:hAnsi="宋体"/>
                <w:sz w:val="24"/>
                <w:vertAlign w:val="subscript"/>
              </w:rPr>
              <w:t>10</w:t>
            </w:r>
            <w:r>
              <w:rPr>
                <w:rFonts w:hint="eastAsia" w:ascii="宋体" w:hAnsi="宋体"/>
                <w:sz w:val="24"/>
              </w:rPr>
              <w:t>）年均浓度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微克/立方米</w:t>
            </w:r>
          </w:p>
        </w:tc>
        <w:tc>
          <w:tcPr>
            <w:tcW w:w="1892" w:type="dxa"/>
            <w:tcBorders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  <w:jc w:val="center"/>
        </w:trPr>
        <w:tc>
          <w:tcPr>
            <w:tcW w:w="4788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二氧化硫(SO</w:t>
            </w:r>
            <w:r>
              <w:rPr>
                <w:rFonts w:hint="eastAsia" w:ascii="宋体" w:hAnsi="宋体"/>
                <w:sz w:val="24"/>
                <w:vertAlign w:val="subscript"/>
              </w:rPr>
              <w:t>2</w:t>
            </w:r>
            <w:r>
              <w:rPr>
                <w:rFonts w:hint="eastAsia" w:ascii="宋体" w:hAnsi="宋体"/>
                <w:sz w:val="24"/>
              </w:rPr>
              <w:t>)年均浓度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微克/立方米</w:t>
            </w:r>
          </w:p>
        </w:tc>
        <w:tc>
          <w:tcPr>
            <w:tcW w:w="1892" w:type="dxa"/>
            <w:tcBorders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88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二氧化氮(NO</w:t>
            </w:r>
            <w:r>
              <w:rPr>
                <w:rFonts w:hint="eastAsia" w:ascii="宋体" w:hAnsi="宋体"/>
                <w:sz w:val="24"/>
                <w:vertAlign w:val="subscript"/>
              </w:rPr>
              <w:t>2</w:t>
            </w:r>
            <w:r>
              <w:rPr>
                <w:rFonts w:hint="eastAsia" w:ascii="宋体" w:hAnsi="宋体"/>
                <w:sz w:val="24"/>
              </w:rPr>
              <w:t>)年均浓度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微克/立方米</w:t>
            </w:r>
          </w:p>
        </w:tc>
        <w:tc>
          <w:tcPr>
            <w:tcW w:w="1892" w:type="dxa"/>
            <w:tcBorders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88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CO-95per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毫克/立方米</w:t>
            </w:r>
          </w:p>
        </w:tc>
        <w:tc>
          <w:tcPr>
            <w:tcW w:w="1892" w:type="dxa"/>
            <w:tcBorders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88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臭氧(O</w:t>
            </w:r>
            <w:r>
              <w:rPr>
                <w:rFonts w:hint="eastAsia" w:ascii="宋体" w:hAnsi="宋体"/>
                <w:sz w:val="24"/>
                <w:vertAlign w:val="subscript"/>
              </w:rPr>
              <w:t>3</w:t>
            </w:r>
            <w:r>
              <w:rPr>
                <w:rFonts w:hint="eastAsia" w:ascii="宋体" w:hAnsi="宋体"/>
                <w:sz w:val="24"/>
              </w:rPr>
              <w:t>)最大8小时滑动平均第90百分位数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</w:rPr>
              <w:t>微克/立方米</w:t>
            </w:r>
          </w:p>
        </w:tc>
        <w:tc>
          <w:tcPr>
            <w:tcW w:w="1892" w:type="dxa"/>
            <w:tcBorders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139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88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区域环境噪声平均值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分贝</w:t>
            </w:r>
          </w:p>
        </w:tc>
        <w:tc>
          <w:tcPr>
            <w:tcW w:w="1892" w:type="dxa"/>
            <w:tcBorders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52.9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88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道路交通噪声平均值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分贝</w:t>
            </w:r>
          </w:p>
        </w:tc>
        <w:tc>
          <w:tcPr>
            <w:tcW w:w="1892" w:type="dxa"/>
            <w:tcBorders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68.8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88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污水处理厂出水水质达标率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%</w:t>
            </w:r>
          </w:p>
        </w:tc>
        <w:tc>
          <w:tcPr>
            <w:tcW w:w="1892" w:type="dxa"/>
            <w:tcBorders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88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工业废水排放量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万吨</w:t>
            </w:r>
          </w:p>
        </w:tc>
        <w:tc>
          <w:tcPr>
            <w:tcW w:w="1892" w:type="dxa"/>
            <w:tcBorders>
              <w:right w:val="nil"/>
            </w:tcBorders>
            <w:vAlign w:val="center"/>
          </w:tcPr>
          <w:p>
            <w:pPr>
              <w:jc w:val="right"/>
              <w:rPr>
                <w:rFonts w:hint="default" w:ascii="宋体" w:hAnsi="宋体" w:eastAsia="宋体"/>
                <w:sz w:val="24"/>
                <w:szCs w:val="24"/>
                <w:highlight w:val="yellow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highlight w:val="yellow"/>
              </w:rPr>
              <w:t>15</w:t>
            </w:r>
            <w:r>
              <w:rPr>
                <w:rFonts w:hint="eastAsia" w:ascii="宋体" w:hAnsi="宋体"/>
                <w:sz w:val="24"/>
                <w:szCs w:val="24"/>
                <w:highlight w:val="yellow"/>
                <w:lang w:val="en-US" w:eastAsia="zh-CN"/>
              </w:rPr>
              <w:t>76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88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工业固体废物产生量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万吨</w:t>
            </w:r>
          </w:p>
        </w:tc>
        <w:tc>
          <w:tcPr>
            <w:tcW w:w="1892" w:type="dxa"/>
            <w:tcBorders>
              <w:right w:val="nil"/>
            </w:tcBorders>
            <w:vAlign w:val="center"/>
          </w:tcPr>
          <w:p>
            <w:pPr>
              <w:jc w:val="right"/>
              <w:rPr>
                <w:rFonts w:hint="default" w:ascii="宋体" w:hAnsi="宋体" w:eastAsia="宋体"/>
                <w:sz w:val="24"/>
                <w:szCs w:val="24"/>
                <w:highlight w:val="yellow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highlight w:val="yellow"/>
                <w:lang w:val="en-US" w:eastAsia="zh-CN"/>
              </w:rPr>
              <w:t>76.3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88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工业固体废物综合利用率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%</w:t>
            </w:r>
          </w:p>
        </w:tc>
        <w:tc>
          <w:tcPr>
            <w:tcW w:w="1892" w:type="dxa"/>
            <w:tcBorders>
              <w:right w:val="nil"/>
            </w:tcBorders>
            <w:vAlign w:val="center"/>
          </w:tcPr>
          <w:p>
            <w:pPr>
              <w:jc w:val="right"/>
              <w:rPr>
                <w:rFonts w:hint="default" w:ascii="宋体" w:hAnsi="宋体" w:eastAsia="宋体"/>
                <w:sz w:val="24"/>
                <w:szCs w:val="24"/>
                <w:highlight w:val="yellow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highlight w:val="yellow"/>
                <w:lang w:val="en-US" w:eastAsia="zh-CN"/>
              </w:rPr>
              <w:t>88.9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88" w:type="dxa"/>
            <w:tcBorders>
              <w:left w:val="nil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危险废物集中处置率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%</w:t>
            </w:r>
          </w:p>
        </w:tc>
        <w:tc>
          <w:tcPr>
            <w:tcW w:w="1892" w:type="dxa"/>
            <w:tcBorders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100</w:t>
            </w:r>
          </w:p>
        </w:tc>
      </w:tr>
    </w:tbl>
    <w:p>
      <w:pPr>
        <w:ind w:left="-630" w:leftChars="-300" w:firstLine="643" w:firstLineChars="200"/>
        <w:jc w:val="center"/>
        <w:rPr>
          <w:rFonts w:ascii="宋体" w:hAnsi="宋体"/>
          <w:b/>
          <w:sz w:val="32"/>
        </w:rPr>
      </w:pPr>
    </w:p>
    <w:p>
      <w:pPr>
        <w:ind w:left="-708" w:leftChars="-337" w:right="-764" w:rightChars="-364"/>
        <w:jc w:val="center"/>
        <w:rPr>
          <w:rFonts w:ascii="宋体" w:hAnsi="宋体"/>
          <w:b/>
          <w:bCs/>
          <w:sz w:val="32"/>
        </w:rPr>
      </w:pPr>
      <w:r>
        <w:rPr>
          <w:rFonts w:hint="eastAsia" w:ascii="宋体" w:hAnsi="宋体"/>
          <w:b/>
          <w:bCs/>
          <w:sz w:val="32"/>
        </w:rPr>
        <w:t>城市和社会发展情况</w:t>
      </w:r>
    </w:p>
    <w:tbl>
      <w:tblPr>
        <w:tblStyle w:val="20"/>
        <w:tblW w:w="0" w:type="auto"/>
        <w:jc w:val="center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2370"/>
        <w:gridCol w:w="814"/>
        <w:gridCol w:w="964"/>
        <w:gridCol w:w="2411"/>
        <w:gridCol w:w="843"/>
        <w:gridCol w:w="964"/>
      </w:tblGrid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12" w:hRule="atLeast"/>
          <w:jc w:val="center"/>
        </w:trPr>
        <w:tc>
          <w:tcPr>
            <w:tcW w:w="237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24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12" w:hRule="atLeast"/>
          <w:jc w:val="center"/>
        </w:trPr>
        <w:tc>
          <w:tcPr>
            <w:tcW w:w="237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各类学校数</w:t>
            </w:r>
          </w:p>
        </w:tc>
        <w:tc>
          <w:tcPr>
            <w:tcW w:w="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个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36</w:t>
            </w:r>
          </w:p>
        </w:tc>
        <w:tc>
          <w:tcPr>
            <w:tcW w:w="24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公共图书馆数</w:t>
            </w:r>
          </w:p>
        </w:tc>
        <w:tc>
          <w:tcPr>
            <w:tcW w:w="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个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12" w:hRule="atLeast"/>
          <w:jc w:val="center"/>
        </w:trPr>
        <w:tc>
          <w:tcPr>
            <w:tcW w:w="237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在校学生数</w:t>
            </w:r>
          </w:p>
        </w:tc>
        <w:tc>
          <w:tcPr>
            <w:tcW w:w="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万人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 4.20</w:t>
            </w:r>
          </w:p>
        </w:tc>
        <w:tc>
          <w:tcPr>
            <w:tcW w:w="24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总藏书量</w:t>
            </w:r>
          </w:p>
        </w:tc>
        <w:tc>
          <w:tcPr>
            <w:tcW w:w="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万册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150.23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12" w:hRule="atLeast"/>
          <w:jc w:val="center"/>
        </w:trPr>
        <w:tc>
          <w:tcPr>
            <w:tcW w:w="237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在校教职工数</w:t>
            </w:r>
            <w:r>
              <w:rPr>
                <w:rFonts w:hint="eastAsia" w:ascii="宋体" w:hAnsi="宋体"/>
                <w:sz w:val="15"/>
                <w:szCs w:val="15"/>
              </w:rPr>
              <w:t>（中小学）</w:t>
            </w:r>
          </w:p>
        </w:tc>
        <w:tc>
          <w:tcPr>
            <w:tcW w:w="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1325</w:t>
            </w:r>
          </w:p>
        </w:tc>
        <w:tc>
          <w:tcPr>
            <w:tcW w:w="24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数字资源数据库</w:t>
            </w:r>
          </w:p>
        </w:tc>
        <w:tc>
          <w:tcPr>
            <w:tcW w:w="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个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75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80" w:hRule="atLeast"/>
          <w:jc w:val="center"/>
        </w:trPr>
        <w:tc>
          <w:tcPr>
            <w:tcW w:w="237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ind w:firstLine="268" w:firstLineChars="112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专任教师数</w:t>
            </w:r>
          </w:p>
        </w:tc>
        <w:tc>
          <w:tcPr>
            <w:tcW w:w="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1149</w:t>
            </w:r>
          </w:p>
        </w:tc>
        <w:tc>
          <w:tcPr>
            <w:tcW w:w="24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接待读者人数</w:t>
            </w:r>
          </w:p>
        </w:tc>
        <w:tc>
          <w:tcPr>
            <w:tcW w:w="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万人次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47.17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12" w:hRule="atLeast"/>
          <w:jc w:val="center"/>
        </w:trPr>
        <w:tc>
          <w:tcPr>
            <w:tcW w:w="237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托幼园所数</w:t>
            </w:r>
          </w:p>
        </w:tc>
        <w:tc>
          <w:tcPr>
            <w:tcW w:w="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个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30</w:t>
            </w:r>
          </w:p>
        </w:tc>
        <w:tc>
          <w:tcPr>
            <w:tcW w:w="24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图书流通册数</w:t>
            </w:r>
          </w:p>
        </w:tc>
        <w:tc>
          <w:tcPr>
            <w:tcW w:w="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万册次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150.26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12" w:hRule="atLeast"/>
          <w:jc w:val="center"/>
        </w:trPr>
        <w:tc>
          <w:tcPr>
            <w:tcW w:w="237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入园儿童数</w:t>
            </w:r>
          </w:p>
        </w:tc>
        <w:tc>
          <w:tcPr>
            <w:tcW w:w="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2540</w:t>
            </w:r>
          </w:p>
        </w:tc>
        <w:tc>
          <w:tcPr>
            <w:tcW w:w="24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体育场数</w:t>
            </w:r>
          </w:p>
        </w:tc>
        <w:tc>
          <w:tcPr>
            <w:tcW w:w="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个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57" w:hRule="atLeast"/>
          <w:jc w:val="center"/>
        </w:trPr>
        <w:tc>
          <w:tcPr>
            <w:tcW w:w="237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幼教职工数</w:t>
            </w:r>
          </w:p>
        </w:tc>
        <w:tc>
          <w:tcPr>
            <w:tcW w:w="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759</w:t>
            </w:r>
          </w:p>
        </w:tc>
        <w:tc>
          <w:tcPr>
            <w:tcW w:w="24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体育馆数</w:t>
            </w:r>
          </w:p>
        </w:tc>
        <w:tc>
          <w:tcPr>
            <w:tcW w:w="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个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50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12" w:hRule="atLeast"/>
          <w:jc w:val="center"/>
        </w:trPr>
        <w:tc>
          <w:tcPr>
            <w:tcW w:w="237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各类卫生事业机构数</w:t>
            </w:r>
          </w:p>
        </w:tc>
        <w:tc>
          <w:tcPr>
            <w:tcW w:w="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个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 102</w:t>
            </w:r>
          </w:p>
        </w:tc>
        <w:tc>
          <w:tcPr>
            <w:tcW w:w="24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游泳馆数</w:t>
            </w:r>
          </w:p>
        </w:tc>
        <w:tc>
          <w:tcPr>
            <w:tcW w:w="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个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18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12" w:hRule="atLeast"/>
          <w:jc w:val="center"/>
        </w:trPr>
        <w:tc>
          <w:tcPr>
            <w:tcW w:w="237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ind w:left="1317" w:leftChars="128" w:hanging="1048" w:hangingChars="437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医院</w:t>
            </w:r>
          </w:p>
        </w:tc>
        <w:tc>
          <w:tcPr>
            <w:tcW w:w="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个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11</w:t>
            </w:r>
          </w:p>
        </w:tc>
        <w:tc>
          <w:tcPr>
            <w:tcW w:w="24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足球场数</w:t>
            </w:r>
          </w:p>
        </w:tc>
        <w:tc>
          <w:tcPr>
            <w:tcW w:w="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个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12" w:hRule="atLeast"/>
          <w:jc w:val="center"/>
        </w:trPr>
        <w:tc>
          <w:tcPr>
            <w:tcW w:w="237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卫生机构床位数</w:t>
            </w:r>
          </w:p>
        </w:tc>
        <w:tc>
          <w:tcPr>
            <w:tcW w:w="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张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 1160</w:t>
            </w:r>
          </w:p>
        </w:tc>
        <w:tc>
          <w:tcPr>
            <w:tcW w:w="24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已建社区数</w:t>
            </w:r>
          </w:p>
        </w:tc>
        <w:tc>
          <w:tcPr>
            <w:tcW w:w="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个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20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12" w:hRule="atLeast"/>
          <w:jc w:val="center"/>
        </w:trPr>
        <w:tc>
          <w:tcPr>
            <w:tcW w:w="237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卫生技术人员数</w:t>
            </w:r>
          </w:p>
        </w:tc>
        <w:tc>
          <w:tcPr>
            <w:tcW w:w="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 2295</w:t>
            </w:r>
          </w:p>
        </w:tc>
        <w:tc>
          <w:tcPr>
            <w:tcW w:w="24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社区志愿者服务站</w:t>
            </w:r>
          </w:p>
        </w:tc>
        <w:tc>
          <w:tcPr>
            <w:tcW w:w="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个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20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12" w:hRule="atLeast"/>
          <w:jc w:val="center"/>
        </w:trPr>
        <w:tc>
          <w:tcPr>
            <w:tcW w:w="237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ind w:firstLine="268" w:firstLineChars="112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医生</w:t>
            </w:r>
          </w:p>
        </w:tc>
        <w:tc>
          <w:tcPr>
            <w:tcW w:w="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932</w:t>
            </w:r>
          </w:p>
        </w:tc>
        <w:tc>
          <w:tcPr>
            <w:tcW w:w="24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志愿者人数</w:t>
            </w:r>
          </w:p>
        </w:tc>
        <w:tc>
          <w:tcPr>
            <w:tcW w:w="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27859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12" w:hRule="atLeast"/>
          <w:jc w:val="center"/>
        </w:trPr>
        <w:tc>
          <w:tcPr>
            <w:tcW w:w="2370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诊疗人数</w:t>
            </w:r>
          </w:p>
        </w:tc>
        <w:tc>
          <w:tcPr>
            <w:tcW w:w="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万人次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154.35</w:t>
            </w:r>
          </w:p>
        </w:tc>
        <w:tc>
          <w:tcPr>
            <w:tcW w:w="24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社区志愿服务时间</w:t>
            </w:r>
          </w:p>
        </w:tc>
        <w:tc>
          <w:tcPr>
            <w:tcW w:w="84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万小时</w:t>
            </w:r>
          </w:p>
        </w:tc>
        <w:tc>
          <w:tcPr>
            <w:tcW w:w="9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33.1</w:t>
            </w:r>
          </w:p>
        </w:tc>
      </w:tr>
    </w:tbl>
    <w:p>
      <w:pPr>
        <w:ind w:right="-908"/>
        <w:jc w:val="center"/>
        <w:rPr>
          <w:rFonts w:ascii="宋体" w:hAnsi="宋体"/>
          <w:b/>
          <w:bCs/>
          <w:sz w:val="32"/>
          <w:szCs w:val="32"/>
        </w:rPr>
      </w:pPr>
    </w:p>
    <w:p>
      <w:pPr>
        <w:ind w:right="-908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人口、就业及工资</w:t>
      </w:r>
    </w:p>
    <w:tbl>
      <w:tblPr>
        <w:tblStyle w:val="2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88"/>
        <w:gridCol w:w="1080"/>
        <w:gridCol w:w="1080"/>
        <w:gridCol w:w="1080"/>
        <w:gridCol w:w="12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指标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单位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同比增长（%）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户籍人口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115643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117863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男性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59083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60106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56" w:firstLineChars="107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女性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56560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57757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人口出生率*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‰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8.8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7.1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-19.3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人口死亡率*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‰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0.6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0.7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-16.6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人口自然增长率*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‰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8.2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6.4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-21.9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“四上”企业从业人员期末数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383589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417498 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8.8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外商及港澳台投资企业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197325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210585 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6.7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内资企业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186264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206913 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11.1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第二产业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228982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234826 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2.6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796" w:firstLineChars="332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vertAlign w:val="superscript"/>
              </w:rPr>
              <w:t>#</w:t>
            </w:r>
            <w:r>
              <w:rPr>
                <w:rFonts w:hint="eastAsia" w:ascii="宋体" w:hAnsi="宋体"/>
                <w:sz w:val="24"/>
                <w:szCs w:val="24"/>
              </w:rPr>
              <w:t>工业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211438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206648 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-2.3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360" w:firstLineChars="1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第三产业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人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154607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182672 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18.2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“四上”企业从业人员工资总额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万元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4211496 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4832698 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14.8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姚体"/>
                <w:kern w:val="0"/>
                <w:sz w:val="24"/>
                <w:szCs w:val="24"/>
              </w:rPr>
              <w:t xml:space="preserve">  #外商及港澳台投资企业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姚体"/>
                <w:kern w:val="0"/>
                <w:sz w:val="24"/>
                <w:szCs w:val="24"/>
              </w:rPr>
              <w:t>万元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2257114 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2596151 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15.0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姚体"/>
                <w:kern w:val="0"/>
                <w:sz w:val="24"/>
                <w:szCs w:val="24"/>
              </w:rPr>
              <w:t xml:space="preserve">    内资企业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姚体"/>
                <w:kern w:val="0"/>
                <w:sz w:val="24"/>
                <w:szCs w:val="24"/>
              </w:rPr>
              <w:t>万元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1954381 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2236547 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14.4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姚体"/>
                <w:kern w:val="0"/>
                <w:sz w:val="24"/>
                <w:szCs w:val="24"/>
              </w:rPr>
              <w:t xml:space="preserve">  #第二产业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姚体"/>
                <w:kern w:val="0"/>
                <w:sz w:val="24"/>
                <w:szCs w:val="24"/>
              </w:rPr>
              <w:t>万元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2662823 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2980057 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11.9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姚体"/>
                <w:kern w:val="0"/>
                <w:sz w:val="24"/>
                <w:szCs w:val="24"/>
              </w:rPr>
              <w:t xml:space="preserve">     #工业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姚体"/>
                <w:kern w:val="0"/>
                <w:sz w:val="24"/>
                <w:szCs w:val="24"/>
              </w:rPr>
              <w:t>万元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2495109 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2725694 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9.2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姚体"/>
                <w:kern w:val="0"/>
                <w:sz w:val="24"/>
                <w:szCs w:val="24"/>
              </w:rPr>
              <w:t xml:space="preserve">    第三产业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姚体"/>
                <w:kern w:val="0"/>
                <w:sz w:val="24"/>
                <w:szCs w:val="24"/>
              </w:rPr>
              <w:t>万元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1548672 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1852642 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19.6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78" w:leftChars="-8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“四上”企业从业人员人均工资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元/人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110218 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116877 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6.0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姚体"/>
                <w:kern w:val="0"/>
                <w:sz w:val="24"/>
                <w:szCs w:val="24"/>
              </w:rPr>
              <w:t xml:space="preserve">  #外商及港澳台投资企业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姚体"/>
                <w:kern w:val="0"/>
                <w:sz w:val="24"/>
                <w:szCs w:val="24"/>
              </w:rPr>
              <w:t xml:space="preserve">元/人 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115029 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122450 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6.5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姚体"/>
                <w:kern w:val="0"/>
                <w:sz w:val="24"/>
                <w:szCs w:val="24"/>
              </w:rPr>
              <w:t xml:space="preserve">    内资企业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姚体"/>
                <w:kern w:val="0"/>
                <w:sz w:val="24"/>
                <w:szCs w:val="24"/>
              </w:rPr>
              <w:t xml:space="preserve">元/人 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105139 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111013 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5.6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姚体"/>
                <w:kern w:val="0"/>
                <w:sz w:val="24"/>
                <w:szCs w:val="24"/>
              </w:rPr>
              <w:t xml:space="preserve">  #第二产业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姚体"/>
                <w:kern w:val="0"/>
                <w:sz w:val="24"/>
                <w:szCs w:val="24"/>
              </w:rPr>
              <w:t xml:space="preserve">元/人 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116522 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126644 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8.7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姚体"/>
                <w:kern w:val="0"/>
                <w:sz w:val="24"/>
                <w:szCs w:val="24"/>
              </w:rPr>
              <w:t xml:space="preserve">     #工业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姚体"/>
                <w:kern w:val="0"/>
                <w:sz w:val="24"/>
                <w:szCs w:val="24"/>
              </w:rPr>
              <w:t xml:space="preserve">元/人 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118502 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131383 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10.9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姚体"/>
                <w:kern w:val="0"/>
                <w:sz w:val="24"/>
                <w:szCs w:val="24"/>
              </w:rPr>
              <w:t xml:space="preserve">    第三产业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方正姚体"/>
                <w:kern w:val="0"/>
                <w:sz w:val="24"/>
                <w:szCs w:val="24"/>
              </w:rPr>
              <w:t xml:space="preserve">元/人 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100838 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103979 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3.1 </w:t>
            </w:r>
          </w:p>
        </w:tc>
      </w:tr>
    </w:tbl>
    <w:p>
      <w:pPr>
        <w:rPr>
          <w:rFonts w:ascii="宋体" w:hAnsi="宋体"/>
        </w:rPr>
      </w:pPr>
      <w:r>
        <w:rPr>
          <w:rFonts w:hint="eastAsia" w:ascii="宋体" w:hAnsi="宋体"/>
        </w:rPr>
        <w:t>注：带“*”指标统计口径为户籍人口，“同比增长（%）”为“同比增减千分点”。</w:t>
      </w:r>
    </w:p>
    <w:p>
      <w:pPr>
        <w:rPr>
          <w:rFonts w:ascii="宋体" w:hAnsi="宋体"/>
        </w:rPr>
      </w:pPr>
      <w:r>
        <w:rPr>
          <w:rFonts w:hint="eastAsia" w:ascii="宋体" w:hAnsi="宋体"/>
        </w:rPr>
        <w:t xml:space="preserve"> </w:t>
      </w:r>
    </w:p>
    <w:p>
      <w:r>
        <w:t xml:space="preserve"> </w:t>
      </w:r>
    </w:p>
    <w:p>
      <w:pPr>
        <w:rPr>
          <w:rFonts w:ascii="宋体" w:hAnsi="宋体"/>
          <w:sz w:val="24"/>
          <w:szCs w:val="24"/>
        </w:rPr>
      </w:pPr>
    </w:p>
    <w:p>
      <w:pPr>
        <w:ind w:left="-850" w:leftChars="-405" w:right="-908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内资企业项目情况</w:t>
      </w:r>
    </w:p>
    <w:tbl>
      <w:tblPr>
        <w:tblStyle w:val="20"/>
        <w:tblW w:w="8556" w:type="dxa"/>
        <w:jc w:val="center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6"/>
        <w:gridCol w:w="4033"/>
        <w:gridCol w:w="3347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年份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注册企业（家）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注册资金（万元）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1980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43826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1981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158910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1982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13769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1984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190450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1985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1043318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1986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8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202564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1987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210421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1988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14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825090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1989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50910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1990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54022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1991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24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25131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1992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73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294380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1993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101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275446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1994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94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2600118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1995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133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426326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1996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192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818286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1997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203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526294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1998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233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1568941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1999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198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876990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2000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254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504479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2001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329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1080956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2002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361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679866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2003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384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813842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2004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504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921587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2005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484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840243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2006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389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5503923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2007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336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5745132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2008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401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6084169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2009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447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5131908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2010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671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7267496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2011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758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7620827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2012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537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2875232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2013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649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2683640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2014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1599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4997283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2015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3843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13696750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2016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3937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40806349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2017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3959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22879134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2018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4371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13058841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2019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5991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9687987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4465</w:t>
            </w:r>
          </w:p>
        </w:tc>
        <w:tc>
          <w:tcPr>
            <w:tcW w:w="3347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23686675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76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4033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5949</w:t>
            </w:r>
          </w:p>
        </w:tc>
        <w:tc>
          <w:tcPr>
            <w:tcW w:w="3347" w:type="dxa"/>
            <w:noWrap/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15032669 </w:t>
            </w:r>
          </w:p>
        </w:tc>
      </w:tr>
    </w:tbl>
    <w:p>
      <w:pPr>
        <w:rPr>
          <w:rFonts w:ascii="宋体" w:hAnsi="宋体"/>
        </w:rPr>
      </w:pPr>
      <w:r>
        <w:rPr>
          <w:rFonts w:hint="eastAsia" w:ascii="宋体" w:hAnsi="宋体"/>
        </w:rPr>
        <w:t>注：1.2021年末，全区实有内资企业34625家，注册资金总额19872.6亿元。</w:t>
      </w:r>
    </w:p>
    <w:p>
      <w:pPr>
        <w:ind w:firstLine="420" w:firstLineChars="200"/>
        <w:rPr>
          <w:rFonts w:ascii="宋体" w:hAnsi="宋体"/>
        </w:rPr>
      </w:pPr>
      <w:r>
        <w:rPr>
          <w:rFonts w:hint="eastAsia" w:ascii="宋体" w:hAnsi="宋体"/>
        </w:rPr>
        <w:t>2.注册资金指标不含当年增资部分。</w:t>
      </w:r>
    </w:p>
    <w:p>
      <w:pPr>
        <w:ind w:left="-141" w:leftChars="-67" w:right="-197" w:rightChars="-94"/>
        <w:jc w:val="center"/>
        <w:rPr>
          <w:rFonts w:ascii="宋体" w:hAnsi="宋体"/>
          <w:b/>
          <w:sz w:val="32"/>
          <w:szCs w:val="32"/>
        </w:rPr>
      </w:pPr>
    </w:p>
    <w:p>
      <w:pPr>
        <w:ind w:left="-141" w:leftChars="-67" w:right="-197" w:rightChars="-94"/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内资企业按行业分类注册情况</w:t>
      </w:r>
    </w:p>
    <w:tbl>
      <w:tblPr>
        <w:tblStyle w:val="2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65"/>
        <w:gridCol w:w="1752"/>
        <w:gridCol w:w="24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65" w:type="dxa"/>
            <w:tcBorders>
              <w:left w:val="nil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行业</w:t>
            </w:r>
          </w:p>
        </w:tc>
        <w:tc>
          <w:tcPr>
            <w:tcW w:w="1752" w:type="dxa"/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企业数（家）</w:t>
            </w:r>
          </w:p>
        </w:tc>
        <w:tc>
          <w:tcPr>
            <w:tcW w:w="2405" w:type="dxa"/>
            <w:tcBorders>
              <w:right w:val="nil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注册资金（万元）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65" w:type="dxa"/>
            <w:tcBorders>
              <w:left w:val="nil"/>
            </w:tcBorders>
            <w:noWrap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合计</w:t>
            </w:r>
          </w:p>
        </w:tc>
        <w:tc>
          <w:tcPr>
            <w:tcW w:w="1752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34625</w:t>
            </w:r>
          </w:p>
        </w:tc>
        <w:tc>
          <w:tcPr>
            <w:tcW w:w="2405" w:type="dxa"/>
            <w:tcBorders>
              <w:right w:val="nil"/>
            </w:tcBorders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198726236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65" w:type="dxa"/>
            <w:tcBorders>
              <w:left w:val="nil"/>
            </w:tcBorders>
            <w:noWrap/>
            <w:vAlign w:val="center"/>
          </w:tcPr>
          <w:p>
            <w:pPr>
              <w:ind w:firstLine="295" w:firstLineChars="123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农、林、牧、渔业</w:t>
            </w:r>
          </w:p>
        </w:tc>
        <w:tc>
          <w:tcPr>
            <w:tcW w:w="1752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25</w:t>
            </w:r>
          </w:p>
        </w:tc>
        <w:tc>
          <w:tcPr>
            <w:tcW w:w="2405" w:type="dxa"/>
            <w:tcBorders>
              <w:right w:val="nil"/>
            </w:tcBorders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63327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65" w:type="dxa"/>
            <w:tcBorders>
              <w:left w:val="nil"/>
            </w:tcBorders>
            <w:noWrap/>
            <w:vAlign w:val="center"/>
          </w:tcPr>
          <w:p>
            <w:pPr>
              <w:ind w:firstLine="295" w:firstLineChars="123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采矿业</w:t>
            </w:r>
          </w:p>
        </w:tc>
        <w:tc>
          <w:tcPr>
            <w:tcW w:w="1752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28</w:t>
            </w:r>
          </w:p>
        </w:tc>
        <w:tc>
          <w:tcPr>
            <w:tcW w:w="2405" w:type="dxa"/>
            <w:tcBorders>
              <w:right w:val="nil"/>
            </w:tcBorders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1680450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65" w:type="dxa"/>
            <w:tcBorders>
              <w:left w:val="nil"/>
            </w:tcBorders>
            <w:noWrap/>
            <w:vAlign w:val="center"/>
          </w:tcPr>
          <w:p>
            <w:pPr>
              <w:ind w:firstLine="295" w:firstLineChars="123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制造业</w:t>
            </w:r>
          </w:p>
        </w:tc>
        <w:tc>
          <w:tcPr>
            <w:tcW w:w="1752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1098</w:t>
            </w:r>
          </w:p>
        </w:tc>
        <w:tc>
          <w:tcPr>
            <w:tcW w:w="2405" w:type="dxa"/>
            <w:tcBorders>
              <w:right w:val="nil"/>
            </w:tcBorders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5408300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65" w:type="dxa"/>
            <w:tcBorders>
              <w:left w:val="nil"/>
            </w:tcBorders>
            <w:noWrap/>
            <w:vAlign w:val="center"/>
          </w:tcPr>
          <w:p>
            <w:pPr>
              <w:ind w:firstLine="295" w:firstLineChars="123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电力、热力、燃气及水生产和供应业</w:t>
            </w:r>
          </w:p>
        </w:tc>
        <w:tc>
          <w:tcPr>
            <w:tcW w:w="1752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109</w:t>
            </w:r>
          </w:p>
        </w:tc>
        <w:tc>
          <w:tcPr>
            <w:tcW w:w="2405" w:type="dxa"/>
            <w:tcBorders>
              <w:right w:val="nil"/>
            </w:tcBorders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1490929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65" w:type="dxa"/>
            <w:tcBorders>
              <w:left w:val="nil"/>
            </w:tcBorders>
            <w:noWrap/>
            <w:vAlign w:val="center"/>
          </w:tcPr>
          <w:p>
            <w:pPr>
              <w:ind w:firstLine="295" w:firstLineChars="123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建筑业</w:t>
            </w:r>
          </w:p>
        </w:tc>
        <w:tc>
          <w:tcPr>
            <w:tcW w:w="1752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2728</w:t>
            </w:r>
          </w:p>
        </w:tc>
        <w:tc>
          <w:tcPr>
            <w:tcW w:w="2405" w:type="dxa"/>
            <w:tcBorders>
              <w:right w:val="nil"/>
            </w:tcBorders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7672110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65" w:type="dxa"/>
            <w:tcBorders>
              <w:left w:val="nil"/>
            </w:tcBorders>
            <w:noWrap/>
            <w:vAlign w:val="center"/>
          </w:tcPr>
          <w:p>
            <w:pPr>
              <w:ind w:firstLine="295" w:firstLineChars="123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批发和零售业</w:t>
            </w:r>
          </w:p>
        </w:tc>
        <w:tc>
          <w:tcPr>
            <w:tcW w:w="1752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7682</w:t>
            </w:r>
          </w:p>
        </w:tc>
        <w:tc>
          <w:tcPr>
            <w:tcW w:w="2405" w:type="dxa"/>
            <w:tcBorders>
              <w:right w:val="nil"/>
            </w:tcBorders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11857688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65" w:type="dxa"/>
            <w:tcBorders>
              <w:left w:val="nil"/>
            </w:tcBorders>
            <w:noWrap/>
            <w:vAlign w:val="center"/>
          </w:tcPr>
          <w:p>
            <w:pPr>
              <w:ind w:firstLine="295" w:firstLineChars="123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交通运输、仓储和邮政业</w:t>
            </w:r>
          </w:p>
        </w:tc>
        <w:tc>
          <w:tcPr>
            <w:tcW w:w="1752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1749</w:t>
            </w:r>
          </w:p>
        </w:tc>
        <w:tc>
          <w:tcPr>
            <w:tcW w:w="2405" w:type="dxa"/>
            <w:tcBorders>
              <w:right w:val="nil"/>
            </w:tcBorders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5272235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65" w:type="dxa"/>
            <w:tcBorders>
              <w:left w:val="nil"/>
            </w:tcBorders>
            <w:noWrap/>
            <w:vAlign w:val="center"/>
          </w:tcPr>
          <w:p>
            <w:pPr>
              <w:ind w:firstLine="295" w:firstLineChars="123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住宿和餐饮业</w:t>
            </w:r>
          </w:p>
        </w:tc>
        <w:tc>
          <w:tcPr>
            <w:tcW w:w="1752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460</w:t>
            </w:r>
          </w:p>
        </w:tc>
        <w:tc>
          <w:tcPr>
            <w:tcW w:w="2405" w:type="dxa"/>
            <w:tcBorders>
              <w:right w:val="nil"/>
            </w:tcBorders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116227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65" w:type="dxa"/>
            <w:tcBorders>
              <w:left w:val="nil"/>
            </w:tcBorders>
            <w:noWrap/>
            <w:vAlign w:val="center"/>
          </w:tcPr>
          <w:p>
            <w:pPr>
              <w:ind w:firstLine="295" w:firstLineChars="123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信息传输、软件和信息技术服务业</w:t>
            </w:r>
          </w:p>
        </w:tc>
        <w:tc>
          <w:tcPr>
            <w:tcW w:w="1752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1226</w:t>
            </w:r>
          </w:p>
        </w:tc>
        <w:tc>
          <w:tcPr>
            <w:tcW w:w="2405" w:type="dxa"/>
            <w:tcBorders>
              <w:right w:val="nil"/>
            </w:tcBorders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1377433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65" w:type="dxa"/>
            <w:tcBorders>
              <w:left w:val="nil"/>
            </w:tcBorders>
            <w:noWrap/>
            <w:vAlign w:val="center"/>
          </w:tcPr>
          <w:p>
            <w:pPr>
              <w:ind w:firstLine="295" w:firstLineChars="123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金融业</w:t>
            </w:r>
          </w:p>
        </w:tc>
        <w:tc>
          <w:tcPr>
            <w:tcW w:w="1752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1409</w:t>
            </w:r>
          </w:p>
        </w:tc>
        <w:tc>
          <w:tcPr>
            <w:tcW w:w="2405" w:type="dxa"/>
            <w:tcBorders>
              <w:right w:val="nil"/>
            </w:tcBorders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92466213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65" w:type="dxa"/>
            <w:tcBorders>
              <w:left w:val="nil"/>
            </w:tcBorders>
            <w:noWrap/>
            <w:vAlign w:val="center"/>
          </w:tcPr>
          <w:p>
            <w:pPr>
              <w:ind w:firstLine="295" w:firstLineChars="123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房地产业</w:t>
            </w:r>
          </w:p>
        </w:tc>
        <w:tc>
          <w:tcPr>
            <w:tcW w:w="1752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1054</w:t>
            </w:r>
          </w:p>
        </w:tc>
        <w:tc>
          <w:tcPr>
            <w:tcW w:w="2405" w:type="dxa"/>
            <w:tcBorders>
              <w:right w:val="nil"/>
            </w:tcBorders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7780222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65" w:type="dxa"/>
            <w:tcBorders>
              <w:left w:val="nil"/>
            </w:tcBorders>
            <w:noWrap/>
            <w:vAlign w:val="center"/>
          </w:tcPr>
          <w:p>
            <w:pPr>
              <w:ind w:firstLine="295" w:firstLineChars="123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租赁和商务服务业</w:t>
            </w:r>
          </w:p>
        </w:tc>
        <w:tc>
          <w:tcPr>
            <w:tcW w:w="1752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5605</w:t>
            </w:r>
          </w:p>
        </w:tc>
        <w:tc>
          <w:tcPr>
            <w:tcW w:w="2405" w:type="dxa"/>
            <w:tcBorders>
              <w:right w:val="nil"/>
            </w:tcBorders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35366877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65" w:type="dxa"/>
            <w:tcBorders>
              <w:left w:val="nil"/>
            </w:tcBorders>
            <w:noWrap/>
            <w:vAlign w:val="center"/>
          </w:tcPr>
          <w:p>
            <w:pPr>
              <w:ind w:firstLine="295" w:firstLineChars="123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科学研究和技术服务业</w:t>
            </w:r>
          </w:p>
        </w:tc>
        <w:tc>
          <w:tcPr>
            <w:tcW w:w="1752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9203</w:t>
            </w:r>
          </w:p>
        </w:tc>
        <w:tc>
          <w:tcPr>
            <w:tcW w:w="2405" w:type="dxa"/>
            <w:tcBorders>
              <w:right w:val="nil"/>
            </w:tcBorders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25486602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65" w:type="dxa"/>
            <w:tcBorders>
              <w:left w:val="nil"/>
            </w:tcBorders>
            <w:noWrap/>
            <w:vAlign w:val="center"/>
          </w:tcPr>
          <w:p>
            <w:pPr>
              <w:ind w:firstLine="295" w:firstLineChars="123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其他行业</w:t>
            </w:r>
          </w:p>
        </w:tc>
        <w:tc>
          <w:tcPr>
            <w:tcW w:w="1752" w:type="dxa"/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2249</w:t>
            </w:r>
          </w:p>
        </w:tc>
        <w:tc>
          <w:tcPr>
            <w:tcW w:w="2405" w:type="dxa"/>
            <w:tcBorders>
              <w:right w:val="nil"/>
            </w:tcBorders>
            <w:noWrap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2687625 </w:t>
            </w:r>
          </w:p>
        </w:tc>
      </w:tr>
    </w:tbl>
    <w:p>
      <w:pPr>
        <w:rPr>
          <w:rFonts w:ascii="宋体" w:hAnsi="宋体"/>
        </w:rPr>
      </w:pPr>
      <w:r>
        <w:rPr>
          <w:rFonts w:hint="eastAsia" w:ascii="宋体" w:hAnsi="宋体"/>
        </w:rPr>
        <w:t>注：表中数字为2021年末实有各类内资企业情况。</w:t>
      </w:r>
    </w:p>
    <w:p>
      <w:pPr>
        <w:ind w:left="-141" w:leftChars="-67" w:right="-57" w:rightChars="-27"/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外商及港澳台投资企业批准情况</w:t>
      </w:r>
    </w:p>
    <w:tbl>
      <w:tblPr>
        <w:tblStyle w:val="20"/>
        <w:tblW w:w="0" w:type="auto"/>
        <w:jc w:val="center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6"/>
        <w:gridCol w:w="3112"/>
        <w:gridCol w:w="2132"/>
        <w:gridCol w:w="2132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年份</w:t>
            </w:r>
          </w:p>
        </w:tc>
        <w:tc>
          <w:tcPr>
            <w:tcW w:w="311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批准企业数</w:t>
            </w:r>
          </w:p>
          <w:p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（家）</w:t>
            </w:r>
          </w:p>
        </w:tc>
        <w:tc>
          <w:tcPr>
            <w:tcW w:w="213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合同外资金额</w:t>
            </w:r>
          </w:p>
          <w:p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（万美元）</w:t>
            </w:r>
          </w:p>
        </w:tc>
        <w:tc>
          <w:tcPr>
            <w:tcW w:w="213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实际使用外资金额（万美元）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1985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14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1436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568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1986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27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1693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1231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1987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34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844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1099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1988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48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4835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1298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1989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40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6764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4071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1990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54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10034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3950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1991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121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12653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11006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1992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462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50682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24243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1993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909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75853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34460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1994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487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119908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65546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1995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361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158959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72216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1996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187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158846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75706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1997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172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130815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75558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1998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194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122845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101318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1999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106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127987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100071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2000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99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264034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101003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2001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94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220007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180072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2002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109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241065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200002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2003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161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127432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63246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2004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165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192171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94919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2005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223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259504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128492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2006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232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325081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160029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2007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186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390038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193055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2008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133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507007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251236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2009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116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543249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302009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2010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136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573513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362459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2011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129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631018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435012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2012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157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695184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500315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2013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126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778489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553415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2014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157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863227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</w:rPr>
              <w:t>603942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2015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142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691340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670000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2016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32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190418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329039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2017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99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432980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369773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2018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118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505775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112114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2019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104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591282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117806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2020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56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503039  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124752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2021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91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714833 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146907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46" w:type="dxa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合计</w:t>
            </w:r>
          </w:p>
        </w:tc>
        <w:tc>
          <w:tcPr>
            <w:tcW w:w="311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6081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11224840</w:t>
            </w:r>
          </w:p>
        </w:tc>
        <w:tc>
          <w:tcPr>
            <w:tcW w:w="213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6571938</w:t>
            </w:r>
          </w:p>
        </w:tc>
      </w:tr>
    </w:tbl>
    <w:p>
      <w:pPr>
        <w:ind w:left="-105" w:leftChars="-50" w:right="-151" w:rightChars="-72"/>
        <w:rPr>
          <w:rFonts w:ascii="宋体" w:hAnsi="宋体"/>
        </w:rPr>
      </w:pPr>
      <w:r>
        <w:rPr>
          <w:rFonts w:hint="eastAsia" w:ascii="宋体" w:hAnsi="宋体"/>
        </w:rPr>
        <w:t>注：表中数字以核发批准证书为准。</w:t>
      </w:r>
    </w:p>
    <w:p>
      <w:pPr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外商及港澳台投资企业按投资方式分类（现有）</w:t>
      </w:r>
    </w:p>
    <w:p>
      <w:pPr>
        <w:jc w:val="right"/>
        <w:rPr>
          <w:rFonts w:ascii="宋体" w:hAnsi="宋体"/>
        </w:rPr>
      </w:pPr>
      <w:r>
        <w:rPr>
          <w:rFonts w:hint="eastAsia" w:ascii="宋体" w:hAnsi="宋体"/>
        </w:rPr>
        <w:t>单位：万美元</w:t>
      </w:r>
    </w:p>
    <w:tbl>
      <w:tblPr>
        <w:tblStyle w:val="20"/>
        <w:tblW w:w="0" w:type="auto"/>
        <w:jc w:val="center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1239"/>
        <w:gridCol w:w="1252"/>
        <w:gridCol w:w="927"/>
        <w:gridCol w:w="1504"/>
        <w:gridCol w:w="939"/>
        <w:gridCol w:w="1754"/>
        <w:gridCol w:w="751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02" w:hRule="atLeast"/>
          <w:jc w:val="center"/>
        </w:trPr>
        <w:tc>
          <w:tcPr>
            <w:tcW w:w="1239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投资方式</w:t>
            </w:r>
          </w:p>
        </w:tc>
        <w:tc>
          <w:tcPr>
            <w:tcW w:w="1252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企业个数</w:t>
            </w:r>
          </w:p>
        </w:tc>
        <w:tc>
          <w:tcPr>
            <w:tcW w:w="927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占（</w:t>
            </w:r>
            <w:r>
              <w:rPr>
                <w:rFonts w:ascii="宋体" w:hAnsi="宋体"/>
                <w:sz w:val="24"/>
                <w:szCs w:val="24"/>
              </w:rPr>
              <w:t>%</w:t>
            </w:r>
            <w:r>
              <w:rPr>
                <w:rFonts w:hint="eastAsia" w:ascii="宋体" w:hAnsi="宋体"/>
                <w:sz w:val="24"/>
                <w:szCs w:val="24"/>
              </w:rPr>
              <w:t>）</w:t>
            </w:r>
          </w:p>
        </w:tc>
        <w:tc>
          <w:tcPr>
            <w:tcW w:w="1504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投资总额</w:t>
            </w:r>
          </w:p>
        </w:tc>
        <w:tc>
          <w:tcPr>
            <w:tcW w:w="939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占（</w:t>
            </w:r>
            <w:r>
              <w:rPr>
                <w:rFonts w:ascii="宋体" w:hAnsi="宋体"/>
                <w:sz w:val="24"/>
                <w:szCs w:val="24"/>
              </w:rPr>
              <w:t>%</w:t>
            </w:r>
            <w:r>
              <w:rPr>
                <w:rFonts w:hint="eastAsia" w:ascii="宋体" w:hAnsi="宋体"/>
                <w:sz w:val="24"/>
                <w:szCs w:val="24"/>
              </w:rPr>
              <w:t>）</w:t>
            </w:r>
          </w:p>
        </w:tc>
        <w:tc>
          <w:tcPr>
            <w:tcW w:w="1754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外方注册资本</w:t>
            </w:r>
          </w:p>
        </w:tc>
        <w:tc>
          <w:tcPr>
            <w:tcW w:w="751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占（</w:t>
            </w:r>
            <w:r>
              <w:rPr>
                <w:rFonts w:ascii="宋体" w:hAnsi="宋体"/>
                <w:sz w:val="24"/>
                <w:szCs w:val="24"/>
              </w:rPr>
              <w:t>%</w:t>
            </w:r>
            <w:r>
              <w:rPr>
                <w:rFonts w:hint="eastAsia" w:ascii="宋体" w:hAnsi="宋体"/>
                <w:sz w:val="24"/>
                <w:szCs w:val="24"/>
              </w:rPr>
              <w:t>）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02" w:hRule="atLeast"/>
          <w:jc w:val="center"/>
        </w:trPr>
        <w:tc>
          <w:tcPr>
            <w:tcW w:w="1239" w:type="dxa"/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合计</w:t>
            </w:r>
          </w:p>
        </w:tc>
        <w:tc>
          <w:tcPr>
            <w:tcW w:w="1252" w:type="dxa"/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1435</w:t>
            </w:r>
          </w:p>
        </w:tc>
        <w:tc>
          <w:tcPr>
            <w:tcW w:w="927" w:type="dxa"/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100.0 </w:t>
            </w:r>
          </w:p>
        </w:tc>
        <w:tc>
          <w:tcPr>
            <w:tcW w:w="1504" w:type="dxa"/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7965327 </w:t>
            </w:r>
          </w:p>
        </w:tc>
        <w:tc>
          <w:tcPr>
            <w:tcW w:w="939" w:type="dxa"/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100.0 </w:t>
            </w:r>
          </w:p>
        </w:tc>
        <w:tc>
          <w:tcPr>
            <w:tcW w:w="1754" w:type="dxa"/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3733016 </w:t>
            </w:r>
          </w:p>
        </w:tc>
        <w:tc>
          <w:tcPr>
            <w:tcW w:w="751" w:type="dxa"/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100.0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02" w:hRule="atLeast"/>
          <w:jc w:val="center"/>
        </w:trPr>
        <w:tc>
          <w:tcPr>
            <w:tcW w:w="1239" w:type="dxa"/>
            <w:vAlign w:val="center"/>
          </w:tcPr>
          <w:p>
            <w:pPr>
              <w:autoSpaceDE w:val="0"/>
              <w:autoSpaceDN w:val="0"/>
              <w:adjustRightInd w:val="0"/>
              <w:ind w:firstLine="331" w:firstLineChars="138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独资</w:t>
            </w:r>
          </w:p>
        </w:tc>
        <w:tc>
          <w:tcPr>
            <w:tcW w:w="125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790</w:t>
            </w:r>
          </w:p>
        </w:tc>
        <w:tc>
          <w:tcPr>
            <w:tcW w:w="927" w:type="dxa"/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55.1 </w:t>
            </w:r>
          </w:p>
        </w:tc>
        <w:tc>
          <w:tcPr>
            <w:tcW w:w="1504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3686553 </w:t>
            </w:r>
          </w:p>
        </w:tc>
        <w:tc>
          <w:tcPr>
            <w:tcW w:w="939" w:type="dxa"/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4.7 </w:t>
            </w:r>
          </w:p>
        </w:tc>
        <w:tc>
          <w:tcPr>
            <w:tcW w:w="1754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2171705 </w:t>
            </w:r>
          </w:p>
        </w:tc>
        <w:tc>
          <w:tcPr>
            <w:tcW w:w="751" w:type="dxa"/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58.2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02" w:hRule="atLeast"/>
          <w:jc w:val="center"/>
        </w:trPr>
        <w:tc>
          <w:tcPr>
            <w:tcW w:w="1239" w:type="dxa"/>
            <w:vAlign w:val="center"/>
          </w:tcPr>
          <w:p>
            <w:pPr>
              <w:autoSpaceDE w:val="0"/>
              <w:autoSpaceDN w:val="0"/>
              <w:adjustRightInd w:val="0"/>
              <w:ind w:firstLine="331" w:firstLineChars="138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合资</w:t>
            </w:r>
          </w:p>
        </w:tc>
        <w:tc>
          <w:tcPr>
            <w:tcW w:w="125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629</w:t>
            </w:r>
          </w:p>
        </w:tc>
        <w:tc>
          <w:tcPr>
            <w:tcW w:w="927" w:type="dxa"/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43.8 </w:t>
            </w:r>
          </w:p>
        </w:tc>
        <w:tc>
          <w:tcPr>
            <w:tcW w:w="1504" w:type="dxa"/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4251648 </w:t>
            </w:r>
          </w:p>
        </w:tc>
        <w:tc>
          <w:tcPr>
            <w:tcW w:w="939" w:type="dxa"/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95.3 </w:t>
            </w:r>
          </w:p>
        </w:tc>
        <w:tc>
          <w:tcPr>
            <w:tcW w:w="1754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1550910 </w:t>
            </w:r>
          </w:p>
        </w:tc>
        <w:tc>
          <w:tcPr>
            <w:tcW w:w="751" w:type="dxa"/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41.5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02" w:hRule="atLeast"/>
          <w:jc w:val="center"/>
        </w:trPr>
        <w:tc>
          <w:tcPr>
            <w:tcW w:w="1239" w:type="dxa"/>
            <w:vAlign w:val="center"/>
          </w:tcPr>
          <w:p>
            <w:pPr>
              <w:autoSpaceDE w:val="0"/>
              <w:autoSpaceDN w:val="0"/>
              <w:adjustRightInd w:val="0"/>
              <w:ind w:firstLine="331" w:firstLineChars="138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合作</w:t>
            </w:r>
          </w:p>
        </w:tc>
        <w:tc>
          <w:tcPr>
            <w:tcW w:w="1252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16</w:t>
            </w:r>
          </w:p>
        </w:tc>
        <w:tc>
          <w:tcPr>
            <w:tcW w:w="927" w:type="dxa"/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1.1 </w:t>
            </w:r>
          </w:p>
        </w:tc>
        <w:tc>
          <w:tcPr>
            <w:tcW w:w="1504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27126 </w:t>
            </w:r>
          </w:p>
        </w:tc>
        <w:tc>
          <w:tcPr>
            <w:tcW w:w="939" w:type="dxa"/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0.0 </w:t>
            </w:r>
          </w:p>
        </w:tc>
        <w:tc>
          <w:tcPr>
            <w:tcW w:w="1754" w:type="dxa"/>
            <w:vAlign w:val="center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10400 </w:t>
            </w:r>
          </w:p>
        </w:tc>
        <w:tc>
          <w:tcPr>
            <w:tcW w:w="751" w:type="dxa"/>
            <w:vAlign w:val="bottom"/>
          </w:tcPr>
          <w:p>
            <w:pPr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0.3 </w:t>
            </w:r>
          </w:p>
        </w:tc>
      </w:tr>
    </w:tbl>
    <w:p>
      <w:pPr>
        <w:rPr>
          <w:rFonts w:ascii="宋体" w:hAnsi="宋体"/>
        </w:rPr>
      </w:pPr>
      <w:r>
        <w:rPr>
          <w:rFonts w:hint="eastAsia" w:ascii="宋体" w:hAnsi="宋体"/>
        </w:rPr>
        <w:t>注：表中数字以核发营业执照的企业为准。</w:t>
      </w:r>
    </w:p>
    <w:p>
      <w:pPr>
        <w:ind w:left="-426" w:leftChars="-203" w:right="-483" w:rightChars="-230"/>
        <w:jc w:val="center"/>
        <w:rPr>
          <w:rFonts w:ascii="宋体" w:hAnsi="宋体"/>
          <w:szCs w:val="32"/>
        </w:rPr>
      </w:pPr>
      <w:r>
        <w:rPr>
          <w:rFonts w:hint="eastAsia" w:ascii="宋体" w:hAnsi="宋体"/>
          <w:b/>
          <w:sz w:val="32"/>
          <w:szCs w:val="32"/>
        </w:rPr>
        <w:t>外商及港澳台投资企业按国别（地区）分类（现有）</w:t>
      </w:r>
    </w:p>
    <w:p>
      <w:pPr>
        <w:ind w:left="-426" w:leftChars="-203" w:right="25" w:rightChars="12"/>
        <w:jc w:val="right"/>
        <w:rPr>
          <w:rFonts w:ascii="宋体" w:hAnsi="宋体"/>
        </w:rPr>
      </w:pPr>
      <w:r>
        <w:rPr>
          <w:rFonts w:hint="eastAsia" w:ascii="宋体" w:hAnsi="宋体"/>
        </w:rPr>
        <w:t>单位：万美元</w:t>
      </w:r>
    </w:p>
    <w:tbl>
      <w:tblPr>
        <w:tblStyle w:val="20"/>
        <w:tblW w:w="0" w:type="auto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16"/>
        <w:gridCol w:w="1080"/>
        <w:gridCol w:w="900"/>
        <w:gridCol w:w="1080"/>
        <w:gridCol w:w="900"/>
        <w:gridCol w:w="1621"/>
        <w:gridCol w:w="939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</w:rPr>
              <w:t>国别（地区）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</w:rPr>
              <w:t>企业个数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</w:rPr>
              <w:t>占（%）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</w:rPr>
              <w:t>投资总额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</w:rPr>
              <w:t>占（%）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</w:rPr>
              <w:t>外方注册资本</w:t>
            </w:r>
          </w:p>
        </w:tc>
        <w:tc>
          <w:tcPr>
            <w:tcW w:w="939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</w:rPr>
              <w:t>占（%）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</w:rPr>
              <w:t>合计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1435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100.0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79208202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3733016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中国香港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494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34.4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74106737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93.6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1595786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42.7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中 国*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88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1299314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1.6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640402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17.2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日本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132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9.2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1064458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1.3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368250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9.9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韩国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75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5.2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381677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0.5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119042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英属维尔京群岛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67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4.7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379222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0.5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230814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沙特阿拉伯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354733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63470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1.7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美国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129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9.0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310419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125217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3.4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荷兰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1.0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304986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108352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2.9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丹麦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0.8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187327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98535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2.6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开曼群岛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1.4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141000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70311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1.9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新加坡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59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131514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45952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英国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37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2.6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93654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33196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0.9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德国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2.2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81490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46557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西萨摩亚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0.7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67603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31980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0.9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加拿大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34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2.4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39851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19696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0.5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巴巴多斯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32124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17774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0.5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文莱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30511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10611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澳大利亚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1.2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26369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20870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0.6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瑞士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25682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14060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中国台湾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69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4.8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24445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14235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法国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0.9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22360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8793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百慕大群岛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15457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6059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瑞典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0.6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14060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7100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毛里求斯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10492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4946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英属处女岛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10053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9533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意大利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9775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971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欧洲其它国家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8427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4809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比利时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6885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2844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奥地利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3456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1383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爱尔兰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2957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1468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芬兰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2943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1576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其它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2800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765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美属萨摩亚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2640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1220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马来西亚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2583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1310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英属萨摩亚群岛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2196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561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泰国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2113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824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巴基斯坦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860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594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西班牙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674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111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巴哈马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663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491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巴西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603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422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以色列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415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205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哥斯达黎加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406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180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巴勒斯坦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265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265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中国澳门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222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169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新西兰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218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170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南非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184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183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捷克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169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54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印度尼西亚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135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51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印度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121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121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津巴布韦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101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37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冰岛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100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100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俄罗斯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100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100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尼日利亚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96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96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蒙古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63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48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埃及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60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埃塞俄比亚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60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60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伊朗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60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45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美属维尔京群岛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52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14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塞舌尔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42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30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柬埔寨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30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30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匈牙利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26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22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孟加拉国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24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24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英属印度洋群岛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20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20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挪威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17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8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希腊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15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15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贝宁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12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12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卢旺达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12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12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1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Cs/>
                <w:kern w:val="0"/>
                <w:sz w:val="24"/>
                <w:szCs w:val="24"/>
              </w:rPr>
              <w:t>其他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0.6 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58 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50 </w:t>
            </w:r>
          </w:p>
        </w:tc>
        <w:tc>
          <w:tcPr>
            <w:tcW w:w="939" w:type="dxa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</w:tbl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  <w:r>
        <w:rPr>
          <w:rFonts w:hint="eastAsia" w:ascii="宋体" w:hAnsi="宋体"/>
          <w:sz w:val="18"/>
          <w:szCs w:val="18"/>
        </w:rPr>
        <w:t>注：1.表中数字以核发营业执照的企业为准。</w:t>
      </w:r>
    </w:p>
    <w:p>
      <w:pPr>
        <w:ind w:left="359" w:leftChars="171"/>
        <w:rPr>
          <w:sz w:val="18"/>
          <w:szCs w:val="18"/>
        </w:rPr>
      </w:pPr>
      <w:r>
        <w:rPr>
          <w:rFonts w:hint="eastAsia" w:ascii="宋体" w:hAnsi="宋体"/>
          <w:sz w:val="18"/>
          <w:szCs w:val="18"/>
        </w:rPr>
        <w:t>2.表中的部分计算数据因小数取舍而产生的误差，均未作机械调整。</w:t>
      </w:r>
    </w:p>
    <w:p>
      <w:pPr>
        <w:ind w:left="359" w:leftChars="171"/>
        <w:rPr>
          <w:rFonts w:ascii="宋体" w:hAnsi="宋体"/>
          <w:sz w:val="18"/>
          <w:szCs w:val="18"/>
        </w:rPr>
      </w:pPr>
      <w:r>
        <w:rPr>
          <w:rFonts w:hint="eastAsia" w:ascii="宋体" w:hAnsi="宋体"/>
          <w:sz w:val="18"/>
          <w:szCs w:val="18"/>
        </w:rPr>
        <w:t>3.表中*为投资性公司投资。</w:t>
      </w:r>
    </w:p>
    <w:p>
      <w:pPr>
        <w:ind w:left="-1134" w:leftChars="-540" w:right="-1050" w:rightChars="-500"/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外商及港澳台投资企业按行业分类（现有）</w:t>
      </w:r>
    </w:p>
    <w:p>
      <w:pPr>
        <w:ind w:left="-1134" w:leftChars="-540" w:right="384" w:rightChars="183"/>
        <w:jc w:val="right"/>
        <w:rPr>
          <w:rFonts w:ascii="宋体" w:hAnsi="宋体"/>
        </w:rPr>
      </w:pPr>
      <w:r>
        <w:rPr>
          <w:rFonts w:hint="eastAsia" w:ascii="宋体" w:hAnsi="宋体"/>
        </w:rPr>
        <w:t>单位：万美元</w:t>
      </w:r>
    </w:p>
    <w:tbl>
      <w:tblPr>
        <w:tblStyle w:val="20"/>
        <w:tblW w:w="0" w:type="auto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991"/>
        <w:gridCol w:w="594"/>
        <w:gridCol w:w="632"/>
        <w:gridCol w:w="942"/>
        <w:gridCol w:w="634"/>
        <w:gridCol w:w="914"/>
        <w:gridCol w:w="629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行业</w:t>
            </w: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企业个数</w:t>
            </w:r>
          </w:p>
        </w:tc>
        <w:tc>
          <w:tcPr>
            <w:tcW w:w="6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占</w:t>
            </w:r>
            <w:r>
              <w:rPr>
                <w:rFonts w:ascii="宋体" w:hAnsi="宋体"/>
                <w:sz w:val="24"/>
                <w:szCs w:val="24"/>
              </w:rPr>
              <w:t>%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投资总额</w:t>
            </w:r>
          </w:p>
        </w:tc>
        <w:tc>
          <w:tcPr>
            <w:tcW w:w="6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占</w:t>
            </w:r>
            <w:r>
              <w:rPr>
                <w:rFonts w:ascii="宋体" w:hAnsi="宋体"/>
                <w:sz w:val="24"/>
                <w:szCs w:val="24"/>
              </w:rPr>
              <w:t>%</w:t>
            </w:r>
          </w:p>
        </w:tc>
        <w:tc>
          <w:tcPr>
            <w:tcW w:w="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外方注册资本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占</w:t>
            </w:r>
            <w:r>
              <w:rPr>
                <w:rFonts w:ascii="宋体" w:hAnsi="宋体"/>
                <w:sz w:val="24"/>
                <w:szCs w:val="24"/>
              </w:rPr>
              <w:t>%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bookmarkStart w:id="0" w:name="OLE_LINK2" w:colFirst="7" w:colLast="7"/>
            <w:r>
              <w:rPr>
                <w:rFonts w:hint="eastAsia"/>
              </w:rPr>
              <w:t>总计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1435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100.0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79208202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3733016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其他电子元件制造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1.1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71406856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90.2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46471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资本投资服务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54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3.8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791982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736023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19.7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汽车制造业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560548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0.7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129630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3.5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肉、禽、蛋、奶及水产品批发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560000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0.7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280000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7.5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原油加工及石油制品制造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0.6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398223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0.5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79318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2.1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房地产开发经营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2.4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327031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99342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2.7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融资租赁服务</w:t>
            </w: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71</w:t>
            </w:r>
          </w:p>
        </w:tc>
        <w:tc>
          <w:tcPr>
            <w:tcW w:w="6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4.9 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324062 </w:t>
            </w:r>
          </w:p>
        </w:tc>
        <w:tc>
          <w:tcPr>
            <w:tcW w:w="6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  <w:tc>
          <w:tcPr>
            <w:tcW w:w="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203859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5.5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技术推广服务</w:t>
            </w: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41</w:t>
            </w:r>
          </w:p>
        </w:tc>
        <w:tc>
          <w:tcPr>
            <w:tcW w:w="6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2.9 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306584 </w:t>
            </w:r>
          </w:p>
        </w:tc>
        <w:tc>
          <w:tcPr>
            <w:tcW w:w="6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  <w:tc>
          <w:tcPr>
            <w:tcW w:w="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124829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3.3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其他金融业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285499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113783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齿轮及齿轮减、变速箱制造</w:t>
            </w: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6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255540 </w:t>
            </w:r>
          </w:p>
        </w:tc>
        <w:tc>
          <w:tcPr>
            <w:tcW w:w="6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  <w:tc>
          <w:tcPr>
            <w:tcW w:w="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40161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1.1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其他机械与设备经营租赁</w:t>
            </w: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36</w:t>
            </w:r>
          </w:p>
        </w:tc>
        <w:tc>
          <w:tcPr>
            <w:tcW w:w="6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2.5 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246019 </w:t>
            </w:r>
          </w:p>
        </w:tc>
        <w:tc>
          <w:tcPr>
            <w:tcW w:w="6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  <w:tc>
          <w:tcPr>
            <w:tcW w:w="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141962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3.8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其他技术推广服务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7.0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171715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99775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2.7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汽车零部件及配件制造</w:t>
            </w: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39</w:t>
            </w:r>
          </w:p>
        </w:tc>
        <w:tc>
          <w:tcPr>
            <w:tcW w:w="6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2.7 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168664 </w:t>
            </w:r>
          </w:p>
        </w:tc>
        <w:tc>
          <w:tcPr>
            <w:tcW w:w="6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  <w:tc>
          <w:tcPr>
            <w:tcW w:w="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65442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1.8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生物药品制造</w:t>
            </w: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6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126570 </w:t>
            </w:r>
          </w:p>
        </w:tc>
        <w:tc>
          <w:tcPr>
            <w:tcW w:w="6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  <w:tc>
          <w:tcPr>
            <w:tcW w:w="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76015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社会经济咨询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46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3.2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118116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87119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2.3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海水淡化处理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114458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38153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西药零售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108548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108548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2.9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其他未包括金融业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2.0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104867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33636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0.9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电池制造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90003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25361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0.7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半导体器件专用设备制造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85220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33420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0.9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煤炭开采和洗选业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84385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35750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轮胎制造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80920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35884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投资与资产管理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1.3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77475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65667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1.8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批发业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38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2.6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76711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33018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0.9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计算机、通信和其他电子设备制造业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76075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22135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0.6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其他资本市场服务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63167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36167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内燃机及配件制造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59744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19961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0.5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地质勘查专用设备制造</w:t>
            </w: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50310 </w:t>
            </w:r>
          </w:p>
        </w:tc>
        <w:tc>
          <w:tcPr>
            <w:tcW w:w="6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17155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0.5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其他未列明金融业</w:t>
            </w: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6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0.7 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50027 </w:t>
            </w:r>
          </w:p>
        </w:tc>
        <w:tc>
          <w:tcPr>
            <w:tcW w:w="6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14146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装卸搬运和仓储业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0.6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46967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7051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电力电子元器件制造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45248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14629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医药制造业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0.5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44525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7246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集成电路制造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41439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15856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建筑安装业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40416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40414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1.1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生物技术推广服务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1.3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39881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27425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0.7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烘炉、风机、包装等设备制造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38494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13388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其他软件开发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0.6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38343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16559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专用设备制造业</w:t>
            </w: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6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37383 </w:t>
            </w:r>
          </w:p>
        </w:tc>
        <w:tc>
          <w:tcPr>
            <w:tcW w:w="6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12731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化学试剂和助剂制造</w:t>
            </w: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6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35894 </w:t>
            </w:r>
          </w:p>
        </w:tc>
        <w:tc>
          <w:tcPr>
            <w:tcW w:w="6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12656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科技推广和应用服务业</w:t>
            </w: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6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1.2 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35424 </w:t>
            </w:r>
          </w:p>
        </w:tc>
        <w:tc>
          <w:tcPr>
            <w:tcW w:w="6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14217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其他乳制品制造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35147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11716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组织管理服务</w:t>
            </w: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6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1.2 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34551 </w:t>
            </w:r>
          </w:p>
        </w:tc>
        <w:tc>
          <w:tcPr>
            <w:tcW w:w="6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25898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0.7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电子器件制造</w:t>
            </w: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6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34082 </w:t>
            </w:r>
          </w:p>
        </w:tc>
        <w:tc>
          <w:tcPr>
            <w:tcW w:w="6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13747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其他非货币银行服务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33970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33970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0.9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信息系统集成服务</w:t>
            </w: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6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32662 </w:t>
            </w:r>
          </w:p>
        </w:tc>
        <w:tc>
          <w:tcPr>
            <w:tcW w:w="6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11824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能源矿产地质勘查</w:t>
            </w: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32000 </w:t>
            </w:r>
          </w:p>
        </w:tc>
        <w:tc>
          <w:tcPr>
            <w:tcW w:w="6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16000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其他未列明批发业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53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3.7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30351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24724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0.7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初级形态塑料及合成树脂制造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30140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15237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酒、饮料和精制茶制造业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29599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7188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其他非金属矿物制品制造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27624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16725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宋体" w:hAnsi="宋体" w:cs="宋体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炼焦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27521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6128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其他组织管理服务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1.0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27361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18058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0.5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钢压延加工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0.5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27206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10362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稀有稀土金属冶炼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26163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2965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食用植物油加工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24634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10313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涂料制造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0.6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24217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8901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锂离子电池制造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23691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6245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乳制品制造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22433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8503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其他仓储业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22293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4745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方便面制造</w:t>
            </w: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21500 </w:t>
            </w:r>
          </w:p>
        </w:tc>
        <w:tc>
          <w:tcPr>
            <w:tcW w:w="6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7200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轴承、齿轮和传动部件制造</w:t>
            </w: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21140 </w:t>
            </w:r>
          </w:p>
        </w:tc>
        <w:tc>
          <w:tcPr>
            <w:tcW w:w="6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8156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水资源专用机械制造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20986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399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化学药品原料药制造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19921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10944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金属切削机床制造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19020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6340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其他合成材料制造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0.4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18821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5991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其他未列明信息技术服务业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18700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7600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医药及医疗器材批发</w:t>
            </w: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6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18103 </w:t>
            </w:r>
          </w:p>
        </w:tc>
        <w:tc>
          <w:tcPr>
            <w:tcW w:w="6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6042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0.2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其他道路、隧道和桥梁工程建筑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0.1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18000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0.0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13000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0.3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  <w:jc w:val="center"/>
        </w:trPr>
        <w:tc>
          <w:tcPr>
            <w:tcW w:w="3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  <w:lang w:bidi="ar"/>
              </w:rPr>
              <w:t>其他</w:t>
            </w:r>
          </w:p>
        </w:tc>
        <w:tc>
          <w:tcPr>
            <w:tcW w:w="5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622</w:t>
            </w:r>
          </w:p>
        </w:tc>
        <w:tc>
          <w:tcPr>
            <w:tcW w:w="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43.3 </w:t>
            </w:r>
          </w:p>
        </w:tc>
        <w:tc>
          <w:tcPr>
            <w:tcW w:w="9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873032 </w:t>
            </w:r>
          </w:p>
        </w:tc>
        <w:tc>
          <w:tcPr>
            <w:tcW w:w="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1.1 </w:t>
            </w:r>
          </w:p>
        </w:tc>
        <w:tc>
          <w:tcPr>
            <w:tcW w:w="9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389193 </w:t>
            </w:r>
          </w:p>
        </w:tc>
        <w:tc>
          <w:tcPr>
            <w:tcW w:w="629" w:type="dxa"/>
            <w:tcBorders>
              <w:top w:val="single" w:color="auto" w:sz="4" w:space="0"/>
              <w:left w:val="nil"/>
              <w:bottom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10.4 </w:t>
            </w:r>
          </w:p>
        </w:tc>
      </w:tr>
      <w:bookmarkEnd w:id="0"/>
    </w:tbl>
    <w:p>
      <w:pPr>
        <w:rPr>
          <w:rFonts w:ascii="宋体" w:hAnsi="宋体"/>
          <w:sz w:val="18"/>
          <w:szCs w:val="18"/>
        </w:rPr>
      </w:pPr>
      <w:r>
        <w:rPr>
          <w:rFonts w:hint="eastAsia" w:ascii="宋体" w:hAnsi="宋体"/>
          <w:sz w:val="18"/>
          <w:szCs w:val="18"/>
        </w:rPr>
        <w:t>注：1.表中数字以核发营业执照的企业为准。</w:t>
      </w:r>
    </w:p>
    <w:p>
      <w:pPr>
        <w:ind w:left="2" w:firstLine="356" w:firstLineChars="198"/>
        <w:rPr>
          <w:rFonts w:ascii="宋体" w:hAnsi="宋体"/>
          <w:sz w:val="18"/>
          <w:szCs w:val="18"/>
        </w:rPr>
      </w:pPr>
      <w:r>
        <w:rPr>
          <w:rFonts w:hint="eastAsia" w:ascii="宋体" w:hAnsi="宋体"/>
          <w:sz w:val="18"/>
          <w:szCs w:val="18"/>
        </w:rPr>
        <w:t>2.表中的部分计算数据因小数取舍而产生的误差，均未作机械调整。</w:t>
      </w: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spacing w:line="560" w:lineRule="exact"/>
        <w:jc w:val="center"/>
        <w:rPr>
          <w:rFonts w:ascii="仿宋_GB2312" w:hAnsi="宋体" w:eastAsia="仿宋_GB2312" w:cs="宋体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2021年度百强企业名单</w:t>
      </w:r>
    </w:p>
    <w:tbl>
      <w:tblPr>
        <w:tblStyle w:val="20"/>
        <w:tblW w:w="8349" w:type="dxa"/>
        <w:jc w:val="center"/>
        <w:tblBorders>
          <w:top w:val="doub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1"/>
        <w:gridCol w:w="6828"/>
      </w:tblGrid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tblHeader/>
          <w:jc w:val="center"/>
        </w:trPr>
        <w:tc>
          <w:tcPr>
            <w:tcW w:w="1521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宋体" w:eastAsia="黑体" w:cs="宋体"/>
                <w:bCs/>
                <w:sz w:val="32"/>
                <w:szCs w:val="32"/>
              </w:rPr>
            </w:pPr>
            <w:r>
              <w:rPr>
                <w:rFonts w:hint="eastAsia" w:ascii="黑体" w:eastAsia="黑体"/>
                <w:bCs/>
                <w:sz w:val="32"/>
                <w:szCs w:val="32"/>
              </w:rPr>
              <w:t>排名</w:t>
            </w:r>
          </w:p>
        </w:tc>
        <w:tc>
          <w:tcPr>
            <w:tcW w:w="6828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宋体" w:eastAsia="黑体" w:cs="宋体"/>
                <w:bCs/>
                <w:sz w:val="32"/>
                <w:szCs w:val="32"/>
              </w:rPr>
            </w:pPr>
            <w:r>
              <w:rPr>
                <w:rFonts w:hint="eastAsia" w:ascii="黑体" w:eastAsia="黑体"/>
                <w:bCs/>
                <w:sz w:val="32"/>
                <w:szCs w:val="32"/>
              </w:rPr>
              <w:t>单位名称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一汽丰田汽车有限公司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一汽-大众汽车有限公司天津分公司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3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大众汽车自动变速器（天津）有限公司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4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滴滴出行科技有限公司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5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诺和诺德(中国)制药有限公司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6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富联精密电子（天津）有限公司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7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兴业金融租赁有限责任公司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8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腾讯数码（天津）有限公司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9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中沙（天津）石化有限公司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10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天津建龙钢铁实业有限公司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11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工银金融租赁有限公司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12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天津三星视界移动有限公司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13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天津长城滨银汽车金融有限公司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14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天津三星电机有限公司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15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天弘基金管理有限公司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16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中国石油集团渤海钻探工程有限公司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17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中国石油化工股份有限公司天然气分公司华北天然气销售中心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18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中铝物资有限公司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19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天津电装电子有限公司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20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维斯塔斯风力技术（中国）有限公司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21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摩拜出行服务有限公司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22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康希诺生物股份公司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23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邦银金融租赁股份有限公司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24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中信金融租赁有限公司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25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捷信消费金融有限公司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26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中石化化工销售（天津）有限公司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27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天津金城银行股份有限公司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28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PPG涂料(天津)有限公司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29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天津药明康德新药开发有限公司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30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爱玛客服务产业（中国）有限公司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31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天津津路钢铁实业有限公司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32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天津顶益食品有限公司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33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三星（天津）电池有限公司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34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奥的斯电梯(中国)有限公司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35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中石化天津液化天然气有限责任公司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36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渤海证券股份有限公司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37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信达资本管理有限公司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38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贝壳技术有限公司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39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国新商业保理有限公司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40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天津尚德在线教育科技有限公司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41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三星高新电机（天津）有限公司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42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SEW-传动设备(天津)有限公司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43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德佑（天津）房地产经纪服务有限公司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44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恩智浦半导体（天津）有限公司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45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迪安汽车部件（天津）有限公司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46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天津七一二通信广播股份有限公司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47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天津金耀药业有限公司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48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天津鑫宏远创建筑装饰工程有限公司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49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国家管网集团天津天然气管道有限责任公司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50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陕有色（天津）供应链有限公司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51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施维雅(天津)制药有限公司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52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纬湃汽车电子（天津）有限公司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53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渣打环球商业服务有限公司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54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五八同城信息技术有限公司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55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福迪威西特传感工业控制（天津）有限公司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56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凯莱英生命科学技术(天津)有限公司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57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天津三星视界有限公司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58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正大预混料（天津）有限公司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59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天津象屿进出口贸易有限公司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60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天津三星LED有限公司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61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同道精英（天津）信息技术有限公司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62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SEW-工业减速机（天津）有限公司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63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深大联合物产有限公司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64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天津丰田通商钢业有限公司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65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天津英泰汽车饰件有限公司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66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中联重科融资租赁（中国）有限公司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67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天津田边制药有限公司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68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一重集团国际资源有限公司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69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美克国际家私(天津)制造有限公司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70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天津滨海概念人力信息科技有限公司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71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长城汽车股份有限公司天津哈弗分公司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72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同方环球（天津）物流有限公司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73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康师傅（天津）饮品有限公司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74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壳牌（天津）润滑油有限公司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75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天津敏信机械有限公司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76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华海智汇技术有限公司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77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爱信(天津)车身零部件有限公司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78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天津中石化悦泰科技有限公司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79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卡博特化工（天津）有限公司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80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狮桥融资租赁（中国）有限公司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81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出光润滑油（中国）有限公司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82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天津双叶协展机械有限公司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83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天津顶园食品有限公司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84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天津兴航建材销售有限公司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85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天津港航工程有限公司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86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爱信（天津）汽车零部件有限公司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87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振华物流集团有限公司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88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天津和昇塑料制品有限公司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89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中建二局第四建筑工程有限公司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90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天津雀巢有限公司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91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康富(天津)有限公司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92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罗姆半导体（中国）有限公司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93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唯捷创芯（天津）电子技术股份有限公司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94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天津市日新创优科技有限公司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95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凯诺斯(中国）铝酸盐技术有限公司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96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天津摩比斯汽车零部件有限公司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97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天津莱尔德电子材料有限公司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98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通用半导体(中国)有限公司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99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邦士（天津）食品有限公司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521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100</w:t>
            </w:r>
          </w:p>
        </w:tc>
        <w:tc>
          <w:tcPr>
            <w:tcW w:w="682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天津太钢大明金属科技有限公司</w:t>
            </w:r>
          </w:p>
        </w:tc>
      </w:tr>
    </w:tbl>
    <w:p>
      <w:pPr>
        <w:spacing w:after="156" w:afterLines="50" w:line="600" w:lineRule="exact"/>
        <w:jc w:val="center"/>
        <w:rPr>
          <w:rFonts w:ascii="仿宋_GB2312" w:eastAsia="仿宋_GB2312"/>
          <w:b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br w:type="page"/>
      </w:r>
      <w:r>
        <w:rPr>
          <w:rFonts w:hint="eastAsia" w:ascii="仿宋_GB2312" w:eastAsia="仿宋_GB2312"/>
          <w:b/>
          <w:sz w:val="32"/>
          <w:szCs w:val="32"/>
        </w:rPr>
        <w:t>营业收入最大50家企业</w:t>
      </w:r>
    </w:p>
    <w:tbl>
      <w:tblPr>
        <w:tblStyle w:val="20"/>
        <w:tblW w:w="8187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2"/>
        <w:gridCol w:w="671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tblHeader/>
          <w:jc w:val="center"/>
        </w:trPr>
        <w:tc>
          <w:tcPr>
            <w:tcW w:w="1472" w:type="dxa"/>
            <w:tcBorders>
              <w:top w:val="doub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/>
                <w:sz w:val="32"/>
                <w:szCs w:val="32"/>
              </w:rPr>
              <w:t>排名</w:t>
            </w:r>
          </w:p>
        </w:tc>
        <w:tc>
          <w:tcPr>
            <w:tcW w:w="6715" w:type="dxa"/>
            <w:tcBorders>
              <w:top w:val="double" w:color="auto" w:sz="4" w:space="0"/>
              <w:left w:val="nil"/>
              <w:bottom w:val="single" w:color="000000" w:sz="4" w:space="0"/>
            </w:tcBorders>
            <w:vAlign w:val="center"/>
          </w:tcPr>
          <w:p>
            <w:pPr>
              <w:widowControl/>
              <w:ind w:right="-178" w:rightChars="-85"/>
              <w:jc w:val="center"/>
              <w:rPr>
                <w:rFonts w:ascii="仿宋_GB2312" w:hAnsi="宋体" w:eastAsia="仿宋_GB2312" w:cs="宋体"/>
                <w:b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/>
                <w:sz w:val="32"/>
                <w:szCs w:val="32"/>
              </w:rPr>
              <w:t>单位名称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一汽丰田汽车有限公司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滴滴出行科技有限公司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天津建龙钢铁实业有限公司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一汽-大众汽车有限公司天津分公司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5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富联精密电子（天津）有限公司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6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中铝物资有限公司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7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中沙（天津）石化有限公司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8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大众汽车自动变速器（天津）有限公司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9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诺和诺德(中国)制药有限公司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10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中石化化工销售（天津）有限公司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11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天津津路钢铁实业有限公司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12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天津三星视界移动有限公司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13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中国石油集团渤海钻探工程有限公司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14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中国石油化工股份有限公司天然气分公司华北天然气销售中心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15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天津三星电机有限公司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16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维斯塔斯风力技术（中国）有限公司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17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陕有色（天津）供应链有限公司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18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长城汽车股份有限公司天津哈弗分公司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19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天津象屿进出口贸易有限公司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20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深大联合物产有限公司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21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恩智浦半导体（天津）有限公司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22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天津电装电子有限公司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23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一重集团国际资源有限公司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24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奥的斯电梯(中国)有限公司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25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延长石油天津销售有限公司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26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天津市日新创优科技有限公司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27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新兴重工（天津）国际贸易有限公司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28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同方环球（天津）物流有限公司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29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三星高新电机（天津）有限公司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30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天津鑫宏远创建筑装饰工程有限公司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31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中建二局第四建筑工程有限公司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32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三星（天津）电池有限公司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33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五八同城信息技术有限公司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34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天弘基金管理有限公司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35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天津顶益食品有限公司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36</w:t>
            </w:r>
          </w:p>
        </w:tc>
        <w:tc>
          <w:tcPr>
            <w:tcW w:w="6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天津三星电子有限公司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37</w:t>
            </w:r>
          </w:p>
        </w:tc>
        <w:tc>
          <w:tcPr>
            <w:tcW w:w="6715" w:type="dxa"/>
            <w:tcBorders>
              <w:top w:val="single" w:color="000000" w:sz="4" w:space="0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富联云计算（天津）有限公司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38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振华物流集团有限公司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39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邦基正大（天津）粮油有限公司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40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联泓化工销售有限公司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41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中交天津工贸有限公司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42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纬湃汽车电子（天津）有限公司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43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天津太钢大明金属科技有限公司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44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北供资源有限公司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45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天津三星LED有限公司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46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摩拜出行服务有限公司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47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PPG涂料(天津)有限公司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48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天津兴航建材销售有限公司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49</w:t>
            </w:r>
          </w:p>
        </w:tc>
        <w:tc>
          <w:tcPr>
            <w:tcW w:w="6715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天津富祥恒兴贸易有限公司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2" w:type="dxa"/>
            <w:tcBorders>
              <w:top w:val="nil"/>
              <w:bottom w:val="doub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50</w:t>
            </w:r>
          </w:p>
        </w:tc>
        <w:tc>
          <w:tcPr>
            <w:tcW w:w="6715" w:type="dxa"/>
            <w:tcBorders>
              <w:top w:val="nil"/>
              <w:left w:val="nil"/>
              <w:bottom w:val="double" w:color="auto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天津渤化物产商贸有限公司</w:t>
            </w:r>
          </w:p>
        </w:tc>
      </w:tr>
    </w:tbl>
    <w:p>
      <w:pPr>
        <w:spacing w:line="588" w:lineRule="exact"/>
        <w:jc w:val="center"/>
        <w:rPr>
          <w:rFonts w:ascii="仿宋_GB2312" w:eastAsia="仿宋_GB2312"/>
          <w:sz w:val="28"/>
          <w:szCs w:val="28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spacing w:after="156" w:afterLines="50" w:line="600" w:lineRule="exact"/>
        <w:jc w:val="center"/>
        <w:rPr>
          <w:rFonts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营业利润最大50家企业</w:t>
      </w:r>
    </w:p>
    <w:tbl>
      <w:tblPr>
        <w:tblStyle w:val="20"/>
        <w:tblW w:w="8187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676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  <w:jc w:val="center"/>
        </w:trPr>
        <w:tc>
          <w:tcPr>
            <w:tcW w:w="1418" w:type="dxa"/>
            <w:tcBorders>
              <w:top w:val="doub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bCs/>
                <w:sz w:val="32"/>
                <w:szCs w:val="32"/>
              </w:rPr>
            </w:pPr>
            <w:r>
              <w:rPr>
                <w:rFonts w:hint="eastAsia" w:ascii="黑体" w:hAnsi="宋体" w:eastAsia="黑体" w:cs="宋体"/>
                <w:bCs/>
                <w:kern w:val="0"/>
                <w:sz w:val="32"/>
                <w:szCs w:val="32"/>
              </w:rPr>
              <w:t>序号</w:t>
            </w:r>
          </w:p>
        </w:tc>
        <w:tc>
          <w:tcPr>
            <w:tcW w:w="6769" w:type="dxa"/>
            <w:tcBorders>
              <w:top w:val="double" w:color="auto" w:sz="4" w:space="0"/>
              <w:left w:val="nil"/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bCs/>
                <w:sz w:val="32"/>
                <w:szCs w:val="32"/>
              </w:rPr>
            </w:pPr>
            <w:r>
              <w:rPr>
                <w:rFonts w:hint="eastAsia" w:ascii="黑体" w:hAnsi="宋体" w:eastAsia="黑体" w:cs="宋体"/>
                <w:bCs/>
                <w:kern w:val="0"/>
                <w:sz w:val="32"/>
                <w:szCs w:val="32"/>
              </w:rPr>
              <w:t>企业名称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</w:t>
            </w:r>
          </w:p>
        </w:tc>
        <w:tc>
          <w:tcPr>
            <w:tcW w:w="6769" w:type="dxa"/>
            <w:tcBorders>
              <w:top w:val="single" w:color="000000" w:sz="4" w:space="0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一汽-大众汽车有限公司天津分公司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</w:t>
            </w:r>
          </w:p>
        </w:tc>
        <w:tc>
          <w:tcPr>
            <w:tcW w:w="6769" w:type="dxa"/>
            <w:tcBorders>
              <w:top w:val="single" w:color="000000" w:sz="4" w:space="0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一汽丰田汽车有限公司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</w:t>
            </w:r>
          </w:p>
        </w:tc>
        <w:tc>
          <w:tcPr>
            <w:tcW w:w="6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大众汽车自动变速器（天津）有限公司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</w:t>
            </w:r>
          </w:p>
        </w:tc>
        <w:tc>
          <w:tcPr>
            <w:tcW w:w="6769" w:type="dxa"/>
            <w:tcBorders>
              <w:top w:val="single" w:color="000000" w:sz="4" w:space="0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兴业金融租赁有限责任公司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5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腾讯数码（天津）有限公司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6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天弘基金管理有限公司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7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富联精密电子（天津）有限公司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8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中国石油化工股份有限公司天然气分公司华北天然气销售中心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9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天津礼仁投资管理合伙企业（有限合伙）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10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康希诺生物股份公司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11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渤海证券股份有限公司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12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天津长城滨银汽车金融有限公司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13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工银金融租赁有限公司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14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中沙（天津）石化有限公司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15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诺和诺德(中国)制药有限公司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16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滴滴出行科技有限公司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17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天津电装电子有限公司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18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摩拜出行服务有限公司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19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天津三星视界移动有限公司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20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中国银行股份有限公司天津滨海分行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21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中国建设银行股份有限公司天津开发分行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22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天津农村商业银行股份有限公司滨海分行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23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天津银行股份有限公司滨海分行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24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天津建龙钢铁实业有限公司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25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康师傅饮品投资（中国）有限公司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26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恒天财富投资管理股份有限公司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27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维斯塔斯风力技术（中国）有限公司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28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邦银金融租赁股份有限公司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29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贝壳技术有限公司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30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国新商业保理有限公司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31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赛威传动(中国)投资有限公司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32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PPG涂料(天津)有限公司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33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天津三星电机有限公司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34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天津药明康德新药开发有限公司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35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摩拜信息技术有限公司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36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中石化天津液化天然气有限责任公司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37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天津七一二通信广播股份有限公司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38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德佑（天津）房地产经纪服务有限公司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39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天津顶益食品有限公司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40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迪安汽车部件（天津）有限公司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41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渤海银行股份有限公司天津滨海新区分行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42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中国工商银行股份有限公司天津经济技术开发区分行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43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SEW-传动设备(天津)有限公司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44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正大预混料（天津）有限公司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45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中国农业银行股份有限公司天津经济技术开发区分行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46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捷信消费金融有限公司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47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天津海昌房地产开发有限公司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48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中国建设银行股份有限公司天津自由贸易试验区分行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49</w:t>
            </w:r>
          </w:p>
        </w:tc>
        <w:tc>
          <w:tcPr>
            <w:tcW w:w="6769" w:type="dxa"/>
            <w:tcBorders>
              <w:top w:val="nil"/>
              <w:left w:val="nil"/>
              <w:bottom w:val="single" w:color="000000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天津荣程祥泰投资控股集团有限公司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18" w:type="dxa"/>
            <w:tcBorders>
              <w:top w:val="nil"/>
              <w:bottom w:val="doub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50</w:t>
            </w:r>
          </w:p>
        </w:tc>
        <w:tc>
          <w:tcPr>
            <w:tcW w:w="6769" w:type="dxa"/>
            <w:tcBorders>
              <w:top w:val="nil"/>
              <w:left w:val="nil"/>
              <w:bottom w:val="double" w:color="auto" w:sz="4" w:space="0"/>
            </w:tcBorders>
            <w:noWrap/>
            <w:vAlign w:val="center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三星（天津）电池有限公司</w:t>
            </w:r>
          </w:p>
        </w:tc>
      </w:tr>
    </w:tbl>
    <w:p>
      <w:pPr>
        <w:spacing w:line="588" w:lineRule="exact"/>
        <w:jc w:val="center"/>
        <w:rPr>
          <w:rFonts w:ascii="仿宋_GB2312" w:eastAsia="仿宋_GB2312"/>
          <w:sz w:val="28"/>
          <w:szCs w:val="2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rPr>
          <w:rFonts w:ascii="宋体" w:hAnsi="宋体"/>
          <w:sz w:val="18"/>
          <w:szCs w:val="18"/>
        </w:rPr>
      </w:pPr>
    </w:p>
    <w:p>
      <w:pPr>
        <w:spacing w:after="156" w:afterLines="50" w:line="600" w:lineRule="exact"/>
        <w:jc w:val="center"/>
        <w:rPr>
          <w:rFonts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税收收入最大50家企业</w:t>
      </w:r>
    </w:p>
    <w:tbl>
      <w:tblPr>
        <w:tblStyle w:val="20"/>
        <w:tblW w:w="8045" w:type="dxa"/>
        <w:jc w:val="center"/>
        <w:tblBorders>
          <w:top w:val="double" w:color="auto" w:sz="4" w:space="0"/>
          <w:left w:val="none" w:color="auto" w:sz="0" w:space="0"/>
          <w:bottom w:val="doub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6627"/>
      </w:tblGrid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tblHeader/>
          <w:jc w:val="center"/>
        </w:trPr>
        <w:tc>
          <w:tcPr>
            <w:tcW w:w="1418" w:type="dxa"/>
            <w:vAlign w:val="center"/>
          </w:tcPr>
          <w:p>
            <w:pPr>
              <w:widowControl/>
              <w:ind w:right="-178" w:rightChars="-85"/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黑体" w:hAnsi="黑体" w:eastAsia="黑体"/>
                <w:sz w:val="32"/>
                <w:szCs w:val="32"/>
              </w:rPr>
              <w:t>排名</w:t>
            </w:r>
          </w:p>
        </w:tc>
        <w:tc>
          <w:tcPr>
            <w:tcW w:w="6627" w:type="dxa"/>
            <w:vAlign w:val="center"/>
          </w:tcPr>
          <w:p>
            <w:pPr>
              <w:widowControl/>
              <w:ind w:right="-178" w:rightChars="-85"/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黑体" w:hAnsi="黑体" w:eastAsia="黑体"/>
                <w:sz w:val="32"/>
                <w:szCs w:val="32"/>
              </w:rPr>
              <w:t>单位名称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一汽丰田汽车有限公司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一汽—大众汽车有限公司天津分公司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大众汽车自动变速器（天津）有限公司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滴滴（中国）科技有限公司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5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诺和诺德（中国）制药有限公司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6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滴滴出行科技有限公司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7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天弘基金管理有限公司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8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兴业金融租赁有限责任公司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9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腾讯数码（天津）有限公司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10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工银金融租赁有限公司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11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中沙（天津）石化有限公司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12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根都（天津）能源科技有限公司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13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天津长城滨银汽车金融有限公司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14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长城汽车股份有限公司天津哈弗分公司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15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中信金融租赁有限公司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16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渤海证券股份有限公司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17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捷信消费金融有限公司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18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天津电装电子有限公司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19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天津礼仁投资管理合伙企业（有限合伙）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20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PPG涂料（天津）有限公司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21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贝壳（天津）投资有限公司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22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维斯塔斯风力技术（中国）有限公司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23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康师傅方便面投资（中国）有限公司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24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天津三星电机有限公司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25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天津顶益食品有限公司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26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邦银金融租赁股份有限公司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27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天津三星视界移动有限公司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28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奥的斯电梯（中国）有限公司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29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根广（天津）能源科技有限公司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30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天津狮桥国际物流有限公司天津自贸试验区分公司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31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天津鑫宏远创建筑装饰工程有限公司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32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国新商业保理有限公司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33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三星（天津）电池有限公司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34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天津三星LED有限公司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35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贝壳技术有限公司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36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富联精密电子（天津）有限公司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37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三星高新电机（天津）有限公司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38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物易宝（天津）能源科技有限公司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39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天津海昌房地产开发有限公司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40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SEW－传动设备（天津）有限公司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41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迪安汽车部件（天津）有限公司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42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施维雅（天津）制药有限公司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43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狮桥融资租赁（中国）有限公司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44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天津兴航建材销售有限公司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45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中石化天津液化天然气有限责任公司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46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信达资本管理有限公司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47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天津金城银行股份有限公司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48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德佑（天津）房地产经纪服务有限公司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49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天津狮达物流有限公司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18" w:type="dxa"/>
            <w:noWrap/>
            <w:vAlign w:val="center"/>
          </w:tcPr>
          <w:p>
            <w:pPr>
              <w:jc w:val="center"/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50</w:t>
            </w:r>
          </w:p>
        </w:tc>
        <w:tc>
          <w:tcPr>
            <w:tcW w:w="6627" w:type="dxa"/>
            <w:noWrap/>
            <w:vAlign w:val="center"/>
          </w:tcPr>
          <w:p>
            <w:pPr>
              <w:rPr>
                <w:rFonts w:ascii="仿宋_GB2312" w:hAnsi="仿宋" w:eastAsia="仿宋_GB2312" w:cs="宋体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天津英泰汽车饰件有限公司</w:t>
            </w:r>
          </w:p>
        </w:tc>
      </w:tr>
    </w:tbl>
    <w:p>
      <w:pPr>
        <w:rPr>
          <w:rFonts w:ascii="仿宋_GB2312" w:eastAsia="仿宋_GB2312"/>
          <w:sz w:val="28"/>
          <w:szCs w:val="28"/>
        </w:rPr>
      </w:pPr>
    </w:p>
    <w:p>
      <w:pPr>
        <w:rPr>
          <w:rFonts w:ascii="仿宋_GB2312" w:eastAsia="仿宋_GB2312"/>
          <w:sz w:val="28"/>
          <w:szCs w:val="28"/>
        </w:rPr>
      </w:pPr>
    </w:p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5"/>
      <w:framePr w:wrap="around" w:vAnchor="text" w:hAnchor="margin" w:xAlign="center" w:y="1"/>
      <w:rPr>
        <w:rStyle w:val="22"/>
      </w:rPr>
    </w:pPr>
    <w:r>
      <w:fldChar w:fldCharType="begin"/>
    </w:r>
    <w:r>
      <w:rPr>
        <w:rStyle w:val="22"/>
      </w:rPr>
      <w:instrText xml:space="preserve">PAGE  </w:instrText>
    </w:r>
    <w:r>
      <w:fldChar w:fldCharType="separate"/>
    </w:r>
    <w:r>
      <w:rPr>
        <w:rStyle w:val="22"/>
      </w:rPr>
      <w:t>3</w:t>
    </w:r>
    <w:r>
      <w:fldChar w:fldCharType="end"/>
    </w:r>
  </w:p>
  <w:p>
    <w:pPr>
      <w:pStyle w:val="1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5"/>
      <w:framePr w:wrap="around" w:vAnchor="text" w:hAnchor="margin" w:xAlign="center" w:y="1"/>
      <w:rPr>
        <w:rStyle w:val="22"/>
      </w:rPr>
    </w:pPr>
    <w:r>
      <w:fldChar w:fldCharType="begin"/>
    </w:r>
    <w:r>
      <w:rPr>
        <w:rStyle w:val="22"/>
      </w:rPr>
      <w:instrText xml:space="preserve">PAGE  </w:instrText>
    </w:r>
    <w:r>
      <w:fldChar w:fldCharType="end"/>
    </w:r>
  </w:p>
  <w:p>
    <w:pPr>
      <w:pStyle w:val="1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M0OTAzN2ViOGU3YTdhZDM5YjM2YzdjYzBiNzhiNTkifQ=="/>
  </w:docVars>
  <w:rsids>
    <w:rsidRoot w:val="00B54209"/>
    <w:rsid w:val="00000D2A"/>
    <w:rsid w:val="00013C2B"/>
    <w:rsid w:val="000179BE"/>
    <w:rsid w:val="00017FF2"/>
    <w:rsid w:val="000232DB"/>
    <w:rsid w:val="00023D87"/>
    <w:rsid w:val="0002460D"/>
    <w:rsid w:val="00027DD1"/>
    <w:rsid w:val="000307AC"/>
    <w:rsid w:val="00030F1B"/>
    <w:rsid w:val="00031DBE"/>
    <w:rsid w:val="0003235D"/>
    <w:rsid w:val="00035557"/>
    <w:rsid w:val="000415F0"/>
    <w:rsid w:val="00047D20"/>
    <w:rsid w:val="00050E0E"/>
    <w:rsid w:val="00053C90"/>
    <w:rsid w:val="0006147C"/>
    <w:rsid w:val="000614BD"/>
    <w:rsid w:val="00064B56"/>
    <w:rsid w:val="00064F92"/>
    <w:rsid w:val="00071FA2"/>
    <w:rsid w:val="00072CDA"/>
    <w:rsid w:val="00075AAF"/>
    <w:rsid w:val="00081505"/>
    <w:rsid w:val="00082217"/>
    <w:rsid w:val="00083E69"/>
    <w:rsid w:val="00092C93"/>
    <w:rsid w:val="000A02CA"/>
    <w:rsid w:val="000A0495"/>
    <w:rsid w:val="000A4BD7"/>
    <w:rsid w:val="000A6A1D"/>
    <w:rsid w:val="000B12D0"/>
    <w:rsid w:val="000B1DEB"/>
    <w:rsid w:val="000B235B"/>
    <w:rsid w:val="000B2B7A"/>
    <w:rsid w:val="000B3AD3"/>
    <w:rsid w:val="000B3CEC"/>
    <w:rsid w:val="000B50EF"/>
    <w:rsid w:val="000B568C"/>
    <w:rsid w:val="000B69D8"/>
    <w:rsid w:val="000B7482"/>
    <w:rsid w:val="000C469E"/>
    <w:rsid w:val="000D536D"/>
    <w:rsid w:val="000D7EB4"/>
    <w:rsid w:val="000E04C8"/>
    <w:rsid w:val="000E36D2"/>
    <w:rsid w:val="000E37B2"/>
    <w:rsid w:val="000F527B"/>
    <w:rsid w:val="001016F2"/>
    <w:rsid w:val="001067FE"/>
    <w:rsid w:val="001128D1"/>
    <w:rsid w:val="00114EE2"/>
    <w:rsid w:val="00116399"/>
    <w:rsid w:val="0012340D"/>
    <w:rsid w:val="00125322"/>
    <w:rsid w:val="001350F3"/>
    <w:rsid w:val="00135A2D"/>
    <w:rsid w:val="001370FE"/>
    <w:rsid w:val="0014093D"/>
    <w:rsid w:val="00140FFF"/>
    <w:rsid w:val="00144E93"/>
    <w:rsid w:val="00145E3A"/>
    <w:rsid w:val="001546E5"/>
    <w:rsid w:val="00155BA8"/>
    <w:rsid w:val="00157ECD"/>
    <w:rsid w:val="00162B5B"/>
    <w:rsid w:val="001642A1"/>
    <w:rsid w:val="00165F92"/>
    <w:rsid w:val="001704FD"/>
    <w:rsid w:val="00173BF3"/>
    <w:rsid w:val="001770EC"/>
    <w:rsid w:val="001827B6"/>
    <w:rsid w:val="00182A23"/>
    <w:rsid w:val="001873C2"/>
    <w:rsid w:val="0019037F"/>
    <w:rsid w:val="0019058E"/>
    <w:rsid w:val="00190E3F"/>
    <w:rsid w:val="00191341"/>
    <w:rsid w:val="0019497E"/>
    <w:rsid w:val="00195A02"/>
    <w:rsid w:val="001A67DF"/>
    <w:rsid w:val="001B083C"/>
    <w:rsid w:val="001B1281"/>
    <w:rsid w:val="001B3480"/>
    <w:rsid w:val="001B382C"/>
    <w:rsid w:val="001B409E"/>
    <w:rsid w:val="001B64D8"/>
    <w:rsid w:val="001B6B6E"/>
    <w:rsid w:val="001B745D"/>
    <w:rsid w:val="001C6BED"/>
    <w:rsid w:val="001D1AAF"/>
    <w:rsid w:val="001D3C0F"/>
    <w:rsid w:val="001D514C"/>
    <w:rsid w:val="001D6A19"/>
    <w:rsid w:val="001E1A6E"/>
    <w:rsid w:val="001E6B13"/>
    <w:rsid w:val="001E6C41"/>
    <w:rsid w:val="001F2585"/>
    <w:rsid w:val="001F27EE"/>
    <w:rsid w:val="001F3D91"/>
    <w:rsid w:val="002015E3"/>
    <w:rsid w:val="002027A8"/>
    <w:rsid w:val="00204455"/>
    <w:rsid w:val="00206CED"/>
    <w:rsid w:val="00217FBD"/>
    <w:rsid w:val="00222287"/>
    <w:rsid w:val="0022238C"/>
    <w:rsid w:val="00222B82"/>
    <w:rsid w:val="00222DA4"/>
    <w:rsid w:val="002241D9"/>
    <w:rsid w:val="00224DDE"/>
    <w:rsid w:val="002318EB"/>
    <w:rsid w:val="00232A04"/>
    <w:rsid w:val="00235F64"/>
    <w:rsid w:val="00235F81"/>
    <w:rsid w:val="00236FB0"/>
    <w:rsid w:val="00237918"/>
    <w:rsid w:val="00240272"/>
    <w:rsid w:val="00247791"/>
    <w:rsid w:val="00253E1C"/>
    <w:rsid w:val="00254D54"/>
    <w:rsid w:val="00255454"/>
    <w:rsid w:val="002555EC"/>
    <w:rsid w:val="00256CCC"/>
    <w:rsid w:val="00257EB7"/>
    <w:rsid w:val="00262EA9"/>
    <w:rsid w:val="002700EF"/>
    <w:rsid w:val="002735BC"/>
    <w:rsid w:val="00274AE0"/>
    <w:rsid w:val="00286CE1"/>
    <w:rsid w:val="00293E90"/>
    <w:rsid w:val="00294D7C"/>
    <w:rsid w:val="0029605C"/>
    <w:rsid w:val="0029691F"/>
    <w:rsid w:val="002A21D2"/>
    <w:rsid w:val="002A2E9C"/>
    <w:rsid w:val="002A737B"/>
    <w:rsid w:val="002B0917"/>
    <w:rsid w:val="002B5BCA"/>
    <w:rsid w:val="002B68AF"/>
    <w:rsid w:val="002C0AE1"/>
    <w:rsid w:val="002C1EF6"/>
    <w:rsid w:val="002C2915"/>
    <w:rsid w:val="002C53BD"/>
    <w:rsid w:val="002C5D7A"/>
    <w:rsid w:val="002D2A90"/>
    <w:rsid w:val="002D4675"/>
    <w:rsid w:val="002D6B33"/>
    <w:rsid w:val="002E1216"/>
    <w:rsid w:val="002E2010"/>
    <w:rsid w:val="002E252A"/>
    <w:rsid w:val="002E2ACA"/>
    <w:rsid w:val="002F2154"/>
    <w:rsid w:val="002F29A5"/>
    <w:rsid w:val="002F3D2E"/>
    <w:rsid w:val="00301681"/>
    <w:rsid w:val="00306334"/>
    <w:rsid w:val="00306A27"/>
    <w:rsid w:val="00306C81"/>
    <w:rsid w:val="003070DE"/>
    <w:rsid w:val="003159E9"/>
    <w:rsid w:val="00316E87"/>
    <w:rsid w:val="00333B5F"/>
    <w:rsid w:val="00336D58"/>
    <w:rsid w:val="00345B25"/>
    <w:rsid w:val="00345F5F"/>
    <w:rsid w:val="0034720F"/>
    <w:rsid w:val="00350557"/>
    <w:rsid w:val="00355D06"/>
    <w:rsid w:val="0035662E"/>
    <w:rsid w:val="003573F6"/>
    <w:rsid w:val="003623CC"/>
    <w:rsid w:val="00362DAE"/>
    <w:rsid w:val="00366465"/>
    <w:rsid w:val="003664F8"/>
    <w:rsid w:val="00366DC4"/>
    <w:rsid w:val="00367551"/>
    <w:rsid w:val="00370EB1"/>
    <w:rsid w:val="003717E9"/>
    <w:rsid w:val="00373A53"/>
    <w:rsid w:val="00375057"/>
    <w:rsid w:val="00376C1E"/>
    <w:rsid w:val="003802CA"/>
    <w:rsid w:val="0038046A"/>
    <w:rsid w:val="0038235F"/>
    <w:rsid w:val="00383CB0"/>
    <w:rsid w:val="00385F10"/>
    <w:rsid w:val="00390410"/>
    <w:rsid w:val="003924D4"/>
    <w:rsid w:val="00395B33"/>
    <w:rsid w:val="003A2E9D"/>
    <w:rsid w:val="003A52C4"/>
    <w:rsid w:val="003B00CB"/>
    <w:rsid w:val="003B0526"/>
    <w:rsid w:val="003B0F82"/>
    <w:rsid w:val="003B190E"/>
    <w:rsid w:val="003B1F9B"/>
    <w:rsid w:val="003B225F"/>
    <w:rsid w:val="003B41BC"/>
    <w:rsid w:val="003B5C48"/>
    <w:rsid w:val="003B6095"/>
    <w:rsid w:val="003C0512"/>
    <w:rsid w:val="003C2DB2"/>
    <w:rsid w:val="003C66F6"/>
    <w:rsid w:val="003D1884"/>
    <w:rsid w:val="003D410B"/>
    <w:rsid w:val="003E1CE1"/>
    <w:rsid w:val="003E33AD"/>
    <w:rsid w:val="003E3BDF"/>
    <w:rsid w:val="003E3FB2"/>
    <w:rsid w:val="003E43E0"/>
    <w:rsid w:val="003E47C3"/>
    <w:rsid w:val="003E71D8"/>
    <w:rsid w:val="003E73F2"/>
    <w:rsid w:val="003F0A42"/>
    <w:rsid w:val="003F0F8A"/>
    <w:rsid w:val="003F18AB"/>
    <w:rsid w:val="003F6654"/>
    <w:rsid w:val="004003BC"/>
    <w:rsid w:val="00400F9D"/>
    <w:rsid w:val="004033E3"/>
    <w:rsid w:val="00405F5A"/>
    <w:rsid w:val="004078CD"/>
    <w:rsid w:val="00407EBB"/>
    <w:rsid w:val="00413887"/>
    <w:rsid w:val="00417145"/>
    <w:rsid w:val="00417EEB"/>
    <w:rsid w:val="0042159F"/>
    <w:rsid w:val="0042274D"/>
    <w:rsid w:val="00422955"/>
    <w:rsid w:val="004229F5"/>
    <w:rsid w:val="00423B45"/>
    <w:rsid w:val="0042687A"/>
    <w:rsid w:val="00430271"/>
    <w:rsid w:val="004303F4"/>
    <w:rsid w:val="00430DC9"/>
    <w:rsid w:val="0043101A"/>
    <w:rsid w:val="00435D54"/>
    <w:rsid w:val="004364C0"/>
    <w:rsid w:val="00445900"/>
    <w:rsid w:val="004475AF"/>
    <w:rsid w:val="00456A07"/>
    <w:rsid w:val="004647F0"/>
    <w:rsid w:val="00470E89"/>
    <w:rsid w:val="0047748F"/>
    <w:rsid w:val="00485E17"/>
    <w:rsid w:val="004918BF"/>
    <w:rsid w:val="00492100"/>
    <w:rsid w:val="00492272"/>
    <w:rsid w:val="004931D1"/>
    <w:rsid w:val="004A0761"/>
    <w:rsid w:val="004B31F1"/>
    <w:rsid w:val="004B50EB"/>
    <w:rsid w:val="004B5146"/>
    <w:rsid w:val="004C0917"/>
    <w:rsid w:val="004C1E68"/>
    <w:rsid w:val="004C2CE3"/>
    <w:rsid w:val="004D09C1"/>
    <w:rsid w:val="004D0A6E"/>
    <w:rsid w:val="004D0DFC"/>
    <w:rsid w:val="004D14A1"/>
    <w:rsid w:val="004D26F5"/>
    <w:rsid w:val="004D3FC7"/>
    <w:rsid w:val="004D555E"/>
    <w:rsid w:val="004D56AC"/>
    <w:rsid w:val="004D5DF1"/>
    <w:rsid w:val="004D6E69"/>
    <w:rsid w:val="004E23BB"/>
    <w:rsid w:val="004E4EA7"/>
    <w:rsid w:val="004E5DE6"/>
    <w:rsid w:val="004F0DF0"/>
    <w:rsid w:val="004F1125"/>
    <w:rsid w:val="004F19AF"/>
    <w:rsid w:val="004F439C"/>
    <w:rsid w:val="004F51D3"/>
    <w:rsid w:val="00500590"/>
    <w:rsid w:val="005061A1"/>
    <w:rsid w:val="00506C1F"/>
    <w:rsid w:val="00524ED1"/>
    <w:rsid w:val="005275E6"/>
    <w:rsid w:val="005314C0"/>
    <w:rsid w:val="00533246"/>
    <w:rsid w:val="00533400"/>
    <w:rsid w:val="00533864"/>
    <w:rsid w:val="005352EA"/>
    <w:rsid w:val="0053575F"/>
    <w:rsid w:val="00537013"/>
    <w:rsid w:val="00544DEF"/>
    <w:rsid w:val="00552867"/>
    <w:rsid w:val="00552B93"/>
    <w:rsid w:val="00553E96"/>
    <w:rsid w:val="00557A1D"/>
    <w:rsid w:val="00561257"/>
    <w:rsid w:val="00565E24"/>
    <w:rsid w:val="00566BD0"/>
    <w:rsid w:val="00566ED2"/>
    <w:rsid w:val="0057267D"/>
    <w:rsid w:val="0057420E"/>
    <w:rsid w:val="005761D6"/>
    <w:rsid w:val="00576394"/>
    <w:rsid w:val="00577A5C"/>
    <w:rsid w:val="005820A7"/>
    <w:rsid w:val="00583507"/>
    <w:rsid w:val="005838D5"/>
    <w:rsid w:val="00585DA5"/>
    <w:rsid w:val="0058654C"/>
    <w:rsid w:val="00586C41"/>
    <w:rsid w:val="005923F2"/>
    <w:rsid w:val="00592642"/>
    <w:rsid w:val="00593710"/>
    <w:rsid w:val="005A44DA"/>
    <w:rsid w:val="005B1AFC"/>
    <w:rsid w:val="005B1E3A"/>
    <w:rsid w:val="005B33C4"/>
    <w:rsid w:val="005C2012"/>
    <w:rsid w:val="005C3628"/>
    <w:rsid w:val="005C36CF"/>
    <w:rsid w:val="005C3FDB"/>
    <w:rsid w:val="005C41C0"/>
    <w:rsid w:val="005C5BA1"/>
    <w:rsid w:val="005C6CBC"/>
    <w:rsid w:val="005C70AA"/>
    <w:rsid w:val="005C76DB"/>
    <w:rsid w:val="005D4F4B"/>
    <w:rsid w:val="005D5249"/>
    <w:rsid w:val="005E25BF"/>
    <w:rsid w:val="005E77B6"/>
    <w:rsid w:val="005F59ED"/>
    <w:rsid w:val="005F6A3B"/>
    <w:rsid w:val="00601A65"/>
    <w:rsid w:val="00602977"/>
    <w:rsid w:val="00602A87"/>
    <w:rsid w:val="006037DC"/>
    <w:rsid w:val="00604184"/>
    <w:rsid w:val="006053B1"/>
    <w:rsid w:val="006077E3"/>
    <w:rsid w:val="00610481"/>
    <w:rsid w:val="00610768"/>
    <w:rsid w:val="00613253"/>
    <w:rsid w:val="00616D9B"/>
    <w:rsid w:val="0064215C"/>
    <w:rsid w:val="00642E6E"/>
    <w:rsid w:val="00645160"/>
    <w:rsid w:val="00651478"/>
    <w:rsid w:val="006514F4"/>
    <w:rsid w:val="00654239"/>
    <w:rsid w:val="00654E00"/>
    <w:rsid w:val="0065592C"/>
    <w:rsid w:val="00664880"/>
    <w:rsid w:val="00664C88"/>
    <w:rsid w:val="00665A62"/>
    <w:rsid w:val="006710CB"/>
    <w:rsid w:val="00671808"/>
    <w:rsid w:val="00671CBA"/>
    <w:rsid w:val="00671EC4"/>
    <w:rsid w:val="00675164"/>
    <w:rsid w:val="0067691A"/>
    <w:rsid w:val="00677AE4"/>
    <w:rsid w:val="00680738"/>
    <w:rsid w:val="00681EAB"/>
    <w:rsid w:val="006832F4"/>
    <w:rsid w:val="00683D73"/>
    <w:rsid w:val="00696061"/>
    <w:rsid w:val="006A2FB0"/>
    <w:rsid w:val="006A463C"/>
    <w:rsid w:val="006B103B"/>
    <w:rsid w:val="006B1BE1"/>
    <w:rsid w:val="006B4A46"/>
    <w:rsid w:val="006B5E0C"/>
    <w:rsid w:val="006B6F5E"/>
    <w:rsid w:val="006B7EB0"/>
    <w:rsid w:val="006C14E8"/>
    <w:rsid w:val="006C53CF"/>
    <w:rsid w:val="006C6838"/>
    <w:rsid w:val="006D140D"/>
    <w:rsid w:val="006D5061"/>
    <w:rsid w:val="006D577F"/>
    <w:rsid w:val="006D74F7"/>
    <w:rsid w:val="006D7711"/>
    <w:rsid w:val="006D7C8E"/>
    <w:rsid w:val="006D7CF9"/>
    <w:rsid w:val="006E08CF"/>
    <w:rsid w:val="006E0D8B"/>
    <w:rsid w:val="006E1030"/>
    <w:rsid w:val="006E2364"/>
    <w:rsid w:val="006E40E9"/>
    <w:rsid w:val="006E7E37"/>
    <w:rsid w:val="006F18ED"/>
    <w:rsid w:val="006F1ADA"/>
    <w:rsid w:val="006F3650"/>
    <w:rsid w:val="006F4CF5"/>
    <w:rsid w:val="006F7957"/>
    <w:rsid w:val="006F7DD4"/>
    <w:rsid w:val="0070206C"/>
    <w:rsid w:val="0070355C"/>
    <w:rsid w:val="007057B3"/>
    <w:rsid w:val="00707C75"/>
    <w:rsid w:val="00710CAE"/>
    <w:rsid w:val="0071151C"/>
    <w:rsid w:val="0071187B"/>
    <w:rsid w:val="00711AEF"/>
    <w:rsid w:val="00715AB2"/>
    <w:rsid w:val="0071638C"/>
    <w:rsid w:val="00716B8B"/>
    <w:rsid w:val="007217AE"/>
    <w:rsid w:val="00721EBC"/>
    <w:rsid w:val="00723020"/>
    <w:rsid w:val="00723B1F"/>
    <w:rsid w:val="007246EC"/>
    <w:rsid w:val="00725E2B"/>
    <w:rsid w:val="00731CD0"/>
    <w:rsid w:val="007346E7"/>
    <w:rsid w:val="00734D82"/>
    <w:rsid w:val="007356C2"/>
    <w:rsid w:val="0073608B"/>
    <w:rsid w:val="007442BB"/>
    <w:rsid w:val="0074562A"/>
    <w:rsid w:val="00745C21"/>
    <w:rsid w:val="00746D71"/>
    <w:rsid w:val="00750E89"/>
    <w:rsid w:val="00752540"/>
    <w:rsid w:val="007541DE"/>
    <w:rsid w:val="00754AED"/>
    <w:rsid w:val="00757384"/>
    <w:rsid w:val="00763383"/>
    <w:rsid w:val="007650AB"/>
    <w:rsid w:val="0076522C"/>
    <w:rsid w:val="007677FC"/>
    <w:rsid w:val="00770672"/>
    <w:rsid w:val="0077477F"/>
    <w:rsid w:val="00774F6F"/>
    <w:rsid w:val="0077582E"/>
    <w:rsid w:val="0077765B"/>
    <w:rsid w:val="00777EDD"/>
    <w:rsid w:val="007834EA"/>
    <w:rsid w:val="007858E2"/>
    <w:rsid w:val="0078669D"/>
    <w:rsid w:val="007868B7"/>
    <w:rsid w:val="007872E0"/>
    <w:rsid w:val="00793291"/>
    <w:rsid w:val="00797693"/>
    <w:rsid w:val="007A1702"/>
    <w:rsid w:val="007B48CC"/>
    <w:rsid w:val="007B4AB1"/>
    <w:rsid w:val="007B640B"/>
    <w:rsid w:val="007B7056"/>
    <w:rsid w:val="007C59B6"/>
    <w:rsid w:val="007D2645"/>
    <w:rsid w:val="007D2813"/>
    <w:rsid w:val="007D6122"/>
    <w:rsid w:val="007D6258"/>
    <w:rsid w:val="007D6A6C"/>
    <w:rsid w:val="007D7D8F"/>
    <w:rsid w:val="007E3CC6"/>
    <w:rsid w:val="007E409A"/>
    <w:rsid w:val="007E5AA9"/>
    <w:rsid w:val="007F104C"/>
    <w:rsid w:val="007F24A2"/>
    <w:rsid w:val="00800223"/>
    <w:rsid w:val="00801075"/>
    <w:rsid w:val="00804CDF"/>
    <w:rsid w:val="00806C8D"/>
    <w:rsid w:val="00806CDA"/>
    <w:rsid w:val="008118F3"/>
    <w:rsid w:val="00816C40"/>
    <w:rsid w:val="00823552"/>
    <w:rsid w:val="0082585E"/>
    <w:rsid w:val="00832BA9"/>
    <w:rsid w:val="00833622"/>
    <w:rsid w:val="008448FA"/>
    <w:rsid w:val="00850E4F"/>
    <w:rsid w:val="00851FC8"/>
    <w:rsid w:val="00857D31"/>
    <w:rsid w:val="00870801"/>
    <w:rsid w:val="008773FA"/>
    <w:rsid w:val="00877568"/>
    <w:rsid w:val="00883103"/>
    <w:rsid w:val="0088381D"/>
    <w:rsid w:val="00883BC6"/>
    <w:rsid w:val="00885AA5"/>
    <w:rsid w:val="00886185"/>
    <w:rsid w:val="008912D0"/>
    <w:rsid w:val="00891666"/>
    <w:rsid w:val="0089281D"/>
    <w:rsid w:val="0089433F"/>
    <w:rsid w:val="00894576"/>
    <w:rsid w:val="00895655"/>
    <w:rsid w:val="00895F9C"/>
    <w:rsid w:val="008960AF"/>
    <w:rsid w:val="008A004B"/>
    <w:rsid w:val="008A774B"/>
    <w:rsid w:val="008B6EB8"/>
    <w:rsid w:val="008B7277"/>
    <w:rsid w:val="008C3607"/>
    <w:rsid w:val="008D00D0"/>
    <w:rsid w:val="008D1AF3"/>
    <w:rsid w:val="008D2BA0"/>
    <w:rsid w:val="008D3765"/>
    <w:rsid w:val="008D627F"/>
    <w:rsid w:val="008E18C2"/>
    <w:rsid w:val="008E3ED5"/>
    <w:rsid w:val="008E462D"/>
    <w:rsid w:val="008E7D93"/>
    <w:rsid w:val="008E7E44"/>
    <w:rsid w:val="008F01A1"/>
    <w:rsid w:val="008F2477"/>
    <w:rsid w:val="008F4035"/>
    <w:rsid w:val="008F47D7"/>
    <w:rsid w:val="008F7ACE"/>
    <w:rsid w:val="00903035"/>
    <w:rsid w:val="00903F51"/>
    <w:rsid w:val="00906953"/>
    <w:rsid w:val="00906BB2"/>
    <w:rsid w:val="00912E49"/>
    <w:rsid w:val="00912E79"/>
    <w:rsid w:val="009214A7"/>
    <w:rsid w:val="00921CAA"/>
    <w:rsid w:val="009232A8"/>
    <w:rsid w:val="009244D2"/>
    <w:rsid w:val="00924DDA"/>
    <w:rsid w:val="00925844"/>
    <w:rsid w:val="00926174"/>
    <w:rsid w:val="00931337"/>
    <w:rsid w:val="009321DB"/>
    <w:rsid w:val="009333AB"/>
    <w:rsid w:val="00936ED6"/>
    <w:rsid w:val="00940EFB"/>
    <w:rsid w:val="00944C24"/>
    <w:rsid w:val="00945B94"/>
    <w:rsid w:val="00951CEF"/>
    <w:rsid w:val="009532E9"/>
    <w:rsid w:val="00954383"/>
    <w:rsid w:val="00965C67"/>
    <w:rsid w:val="009817CD"/>
    <w:rsid w:val="009818CB"/>
    <w:rsid w:val="00985B77"/>
    <w:rsid w:val="00986F7C"/>
    <w:rsid w:val="0099314D"/>
    <w:rsid w:val="009946CA"/>
    <w:rsid w:val="009A01B4"/>
    <w:rsid w:val="009A0816"/>
    <w:rsid w:val="009A42F2"/>
    <w:rsid w:val="009A56EA"/>
    <w:rsid w:val="009A73FF"/>
    <w:rsid w:val="009B3FBF"/>
    <w:rsid w:val="009B5938"/>
    <w:rsid w:val="009B7B26"/>
    <w:rsid w:val="009C3784"/>
    <w:rsid w:val="009C4CA3"/>
    <w:rsid w:val="009C66FE"/>
    <w:rsid w:val="009E0E40"/>
    <w:rsid w:val="009E1FDC"/>
    <w:rsid w:val="009E3486"/>
    <w:rsid w:val="009E34D0"/>
    <w:rsid w:val="009E5E87"/>
    <w:rsid w:val="009E6B91"/>
    <w:rsid w:val="009F1813"/>
    <w:rsid w:val="009F1FD1"/>
    <w:rsid w:val="009F62A6"/>
    <w:rsid w:val="00A04856"/>
    <w:rsid w:val="00A0706F"/>
    <w:rsid w:val="00A11140"/>
    <w:rsid w:val="00A117B1"/>
    <w:rsid w:val="00A12643"/>
    <w:rsid w:val="00A127DA"/>
    <w:rsid w:val="00A203B7"/>
    <w:rsid w:val="00A223C1"/>
    <w:rsid w:val="00A2377F"/>
    <w:rsid w:val="00A25412"/>
    <w:rsid w:val="00A3435E"/>
    <w:rsid w:val="00A3436C"/>
    <w:rsid w:val="00A344E1"/>
    <w:rsid w:val="00A435B2"/>
    <w:rsid w:val="00A44AB2"/>
    <w:rsid w:val="00A471AC"/>
    <w:rsid w:val="00A472F2"/>
    <w:rsid w:val="00A4799D"/>
    <w:rsid w:val="00A5295E"/>
    <w:rsid w:val="00A549DC"/>
    <w:rsid w:val="00A54D2F"/>
    <w:rsid w:val="00A60AE4"/>
    <w:rsid w:val="00A61FED"/>
    <w:rsid w:val="00A62CA3"/>
    <w:rsid w:val="00A636B0"/>
    <w:rsid w:val="00A64C44"/>
    <w:rsid w:val="00A65835"/>
    <w:rsid w:val="00A66D69"/>
    <w:rsid w:val="00A71579"/>
    <w:rsid w:val="00A83B5F"/>
    <w:rsid w:val="00A83D75"/>
    <w:rsid w:val="00A962F5"/>
    <w:rsid w:val="00AA19A8"/>
    <w:rsid w:val="00AA2C6D"/>
    <w:rsid w:val="00AA3988"/>
    <w:rsid w:val="00AA549B"/>
    <w:rsid w:val="00AA57B7"/>
    <w:rsid w:val="00AB4F93"/>
    <w:rsid w:val="00AB61EA"/>
    <w:rsid w:val="00AC2070"/>
    <w:rsid w:val="00AC3F5A"/>
    <w:rsid w:val="00AC601A"/>
    <w:rsid w:val="00AC78AB"/>
    <w:rsid w:val="00AC7E74"/>
    <w:rsid w:val="00AD1E27"/>
    <w:rsid w:val="00AE0753"/>
    <w:rsid w:val="00AE4728"/>
    <w:rsid w:val="00AF0EF1"/>
    <w:rsid w:val="00AF403A"/>
    <w:rsid w:val="00AF5D5D"/>
    <w:rsid w:val="00B00D64"/>
    <w:rsid w:val="00B01AFD"/>
    <w:rsid w:val="00B02945"/>
    <w:rsid w:val="00B03E4C"/>
    <w:rsid w:val="00B05235"/>
    <w:rsid w:val="00B064C0"/>
    <w:rsid w:val="00B06551"/>
    <w:rsid w:val="00B11A0A"/>
    <w:rsid w:val="00B1238C"/>
    <w:rsid w:val="00B14281"/>
    <w:rsid w:val="00B17171"/>
    <w:rsid w:val="00B17691"/>
    <w:rsid w:val="00B20920"/>
    <w:rsid w:val="00B21778"/>
    <w:rsid w:val="00B246CC"/>
    <w:rsid w:val="00B25722"/>
    <w:rsid w:val="00B268EC"/>
    <w:rsid w:val="00B35B11"/>
    <w:rsid w:val="00B410EA"/>
    <w:rsid w:val="00B41B61"/>
    <w:rsid w:val="00B43144"/>
    <w:rsid w:val="00B4700D"/>
    <w:rsid w:val="00B54209"/>
    <w:rsid w:val="00B54783"/>
    <w:rsid w:val="00B54D60"/>
    <w:rsid w:val="00B5583B"/>
    <w:rsid w:val="00B56F57"/>
    <w:rsid w:val="00B570E4"/>
    <w:rsid w:val="00B6130D"/>
    <w:rsid w:val="00B61694"/>
    <w:rsid w:val="00B62CC1"/>
    <w:rsid w:val="00B64AFA"/>
    <w:rsid w:val="00B67262"/>
    <w:rsid w:val="00B70475"/>
    <w:rsid w:val="00B70C9C"/>
    <w:rsid w:val="00B7174D"/>
    <w:rsid w:val="00B73A91"/>
    <w:rsid w:val="00B76AB9"/>
    <w:rsid w:val="00B82620"/>
    <w:rsid w:val="00B83167"/>
    <w:rsid w:val="00B872C5"/>
    <w:rsid w:val="00B919C4"/>
    <w:rsid w:val="00B91C8B"/>
    <w:rsid w:val="00B936CB"/>
    <w:rsid w:val="00B93826"/>
    <w:rsid w:val="00B93FE7"/>
    <w:rsid w:val="00BA29D2"/>
    <w:rsid w:val="00BA2E9D"/>
    <w:rsid w:val="00BA493C"/>
    <w:rsid w:val="00BA5093"/>
    <w:rsid w:val="00BA6022"/>
    <w:rsid w:val="00BA7FEE"/>
    <w:rsid w:val="00BB43A8"/>
    <w:rsid w:val="00BB4765"/>
    <w:rsid w:val="00BB6CCC"/>
    <w:rsid w:val="00BC231B"/>
    <w:rsid w:val="00BC271A"/>
    <w:rsid w:val="00BC35A7"/>
    <w:rsid w:val="00BC37FA"/>
    <w:rsid w:val="00BC7FAF"/>
    <w:rsid w:val="00BD0955"/>
    <w:rsid w:val="00BD2D07"/>
    <w:rsid w:val="00BD38ED"/>
    <w:rsid w:val="00BD3B68"/>
    <w:rsid w:val="00BD403A"/>
    <w:rsid w:val="00BD692D"/>
    <w:rsid w:val="00BE025A"/>
    <w:rsid w:val="00BE0914"/>
    <w:rsid w:val="00BE19C1"/>
    <w:rsid w:val="00BE3929"/>
    <w:rsid w:val="00BE3D57"/>
    <w:rsid w:val="00BE743F"/>
    <w:rsid w:val="00BF276B"/>
    <w:rsid w:val="00BF33DF"/>
    <w:rsid w:val="00BF63C7"/>
    <w:rsid w:val="00BF7B3F"/>
    <w:rsid w:val="00C044AB"/>
    <w:rsid w:val="00C07B44"/>
    <w:rsid w:val="00C11AF7"/>
    <w:rsid w:val="00C20BF0"/>
    <w:rsid w:val="00C326CD"/>
    <w:rsid w:val="00C33522"/>
    <w:rsid w:val="00C368FA"/>
    <w:rsid w:val="00C36A4C"/>
    <w:rsid w:val="00C40476"/>
    <w:rsid w:val="00C40E46"/>
    <w:rsid w:val="00C42AC3"/>
    <w:rsid w:val="00C4346A"/>
    <w:rsid w:val="00C4438F"/>
    <w:rsid w:val="00C52D9C"/>
    <w:rsid w:val="00C60757"/>
    <w:rsid w:val="00C62D66"/>
    <w:rsid w:val="00C65135"/>
    <w:rsid w:val="00C702A7"/>
    <w:rsid w:val="00C70A50"/>
    <w:rsid w:val="00C751B5"/>
    <w:rsid w:val="00C75E33"/>
    <w:rsid w:val="00C76457"/>
    <w:rsid w:val="00C80343"/>
    <w:rsid w:val="00C809A1"/>
    <w:rsid w:val="00C80E1A"/>
    <w:rsid w:val="00C81711"/>
    <w:rsid w:val="00C86898"/>
    <w:rsid w:val="00C93158"/>
    <w:rsid w:val="00C95970"/>
    <w:rsid w:val="00CA0E40"/>
    <w:rsid w:val="00CA298B"/>
    <w:rsid w:val="00CA2B95"/>
    <w:rsid w:val="00CA44FB"/>
    <w:rsid w:val="00CB27D2"/>
    <w:rsid w:val="00CB5915"/>
    <w:rsid w:val="00CC03C4"/>
    <w:rsid w:val="00CC3D95"/>
    <w:rsid w:val="00CD0DB6"/>
    <w:rsid w:val="00CD16D9"/>
    <w:rsid w:val="00CD2B9E"/>
    <w:rsid w:val="00CD4EB7"/>
    <w:rsid w:val="00CD51BA"/>
    <w:rsid w:val="00CD5894"/>
    <w:rsid w:val="00CE063D"/>
    <w:rsid w:val="00CE0853"/>
    <w:rsid w:val="00CE134C"/>
    <w:rsid w:val="00CE52F1"/>
    <w:rsid w:val="00CE62CC"/>
    <w:rsid w:val="00CE6366"/>
    <w:rsid w:val="00CE6DAC"/>
    <w:rsid w:val="00CE6FAC"/>
    <w:rsid w:val="00CF08DB"/>
    <w:rsid w:val="00CF09FA"/>
    <w:rsid w:val="00CF26F2"/>
    <w:rsid w:val="00CF2B2F"/>
    <w:rsid w:val="00CF2FE2"/>
    <w:rsid w:val="00CF3709"/>
    <w:rsid w:val="00CF3AC5"/>
    <w:rsid w:val="00CF737A"/>
    <w:rsid w:val="00D012F2"/>
    <w:rsid w:val="00D03028"/>
    <w:rsid w:val="00D0491B"/>
    <w:rsid w:val="00D06521"/>
    <w:rsid w:val="00D169BC"/>
    <w:rsid w:val="00D17DB5"/>
    <w:rsid w:val="00D23200"/>
    <w:rsid w:val="00D23C8C"/>
    <w:rsid w:val="00D24522"/>
    <w:rsid w:val="00D2563D"/>
    <w:rsid w:val="00D31B61"/>
    <w:rsid w:val="00D3253D"/>
    <w:rsid w:val="00D36358"/>
    <w:rsid w:val="00D400A0"/>
    <w:rsid w:val="00D40D77"/>
    <w:rsid w:val="00D442D8"/>
    <w:rsid w:val="00D469B3"/>
    <w:rsid w:val="00D5156C"/>
    <w:rsid w:val="00D5792A"/>
    <w:rsid w:val="00D60DB7"/>
    <w:rsid w:val="00D623EA"/>
    <w:rsid w:val="00D63836"/>
    <w:rsid w:val="00D642B7"/>
    <w:rsid w:val="00D66856"/>
    <w:rsid w:val="00D66AAD"/>
    <w:rsid w:val="00D70160"/>
    <w:rsid w:val="00D72404"/>
    <w:rsid w:val="00D738C3"/>
    <w:rsid w:val="00D73CAF"/>
    <w:rsid w:val="00D750FE"/>
    <w:rsid w:val="00D75634"/>
    <w:rsid w:val="00D77F6E"/>
    <w:rsid w:val="00D81477"/>
    <w:rsid w:val="00D82C69"/>
    <w:rsid w:val="00D83BB2"/>
    <w:rsid w:val="00D90EF1"/>
    <w:rsid w:val="00D928BF"/>
    <w:rsid w:val="00D96066"/>
    <w:rsid w:val="00D96C0B"/>
    <w:rsid w:val="00DA0C4A"/>
    <w:rsid w:val="00DA1936"/>
    <w:rsid w:val="00DA1F2F"/>
    <w:rsid w:val="00DA4FB7"/>
    <w:rsid w:val="00DA5B32"/>
    <w:rsid w:val="00DA6917"/>
    <w:rsid w:val="00DA7008"/>
    <w:rsid w:val="00DA7115"/>
    <w:rsid w:val="00DA7E2D"/>
    <w:rsid w:val="00DB5996"/>
    <w:rsid w:val="00DC20F2"/>
    <w:rsid w:val="00DC6F90"/>
    <w:rsid w:val="00DD11C5"/>
    <w:rsid w:val="00DD39C1"/>
    <w:rsid w:val="00DD6369"/>
    <w:rsid w:val="00DD7B87"/>
    <w:rsid w:val="00DE2D17"/>
    <w:rsid w:val="00DF0AAA"/>
    <w:rsid w:val="00DF25C5"/>
    <w:rsid w:val="00DF5B6C"/>
    <w:rsid w:val="00E02681"/>
    <w:rsid w:val="00E05AF8"/>
    <w:rsid w:val="00E10179"/>
    <w:rsid w:val="00E14C16"/>
    <w:rsid w:val="00E27852"/>
    <w:rsid w:val="00E365A0"/>
    <w:rsid w:val="00E40CCC"/>
    <w:rsid w:val="00E42211"/>
    <w:rsid w:val="00E441A7"/>
    <w:rsid w:val="00E4564C"/>
    <w:rsid w:val="00E458DC"/>
    <w:rsid w:val="00E524BF"/>
    <w:rsid w:val="00E539A5"/>
    <w:rsid w:val="00E5482A"/>
    <w:rsid w:val="00E55BCD"/>
    <w:rsid w:val="00E601D4"/>
    <w:rsid w:val="00E6051C"/>
    <w:rsid w:val="00E644AA"/>
    <w:rsid w:val="00E719BB"/>
    <w:rsid w:val="00E74C7C"/>
    <w:rsid w:val="00E74DB8"/>
    <w:rsid w:val="00E75BA0"/>
    <w:rsid w:val="00E819F6"/>
    <w:rsid w:val="00E90A2F"/>
    <w:rsid w:val="00E94621"/>
    <w:rsid w:val="00EA2A81"/>
    <w:rsid w:val="00EA525E"/>
    <w:rsid w:val="00EB1BE3"/>
    <w:rsid w:val="00EB2A4D"/>
    <w:rsid w:val="00EB4C29"/>
    <w:rsid w:val="00EB4D3F"/>
    <w:rsid w:val="00EB794D"/>
    <w:rsid w:val="00EC354D"/>
    <w:rsid w:val="00EC3DEB"/>
    <w:rsid w:val="00ED0EF3"/>
    <w:rsid w:val="00ED2300"/>
    <w:rsid w:val="00ED2F9B"/>
    <w:rsid w:val="00ED563D"/>
    <w:rsid w:val="00ED75CC"/>
    <w:rsid w:val="00EE3171"/>
    <w:rsid w:val="00EE7C97"/>
    <w:rsid w:val="00EF0B8C"/>
    <w:rsid w:val="00EF20BD"/>
    <w:rsid w:val="00EF295B"/>
    <w:rsid w:val="00EF2DEB"/>
    <w:rsid w:val="00F050C6"/>
    <w:rsid w:val="00F06AB2"/>
    <w:rsid w:val="00F0747E"/>
    <w:rsid w:val="00F112FC"/>
    <w:rsid w:val="00F14610"/>
    <w:rsid w:val="00F14765"/>
    <w:rsid w:val="00F155A2"/>
    <w:rsid w:val="00F15662"/>
    <w:rsid w:val="00F1606E"/>
    <w:rsid w:val="00F216DC"/>
    <w:rsid w:val="00F21FE5"/>
    <w:rsid w:val="00F30BDB"/>
    <w:rsid w:val="00F33094"/>
    <w:rsid w:val="00F33D7A"/>
    <w:rsid w:val="00F412E7"/>
    <w:rsid w:val="00F420F4"/>
    <w:rsid w:val="00F50E93"/>
    <w:rsid w:val="00F52C58"/>
    <w:rsid w:val="00F55C91"/>
    <w:rsid w:val="00F56119"/>
    <w:rsid w:val="00F604FA"/>
    <w:rsid w:val="00F61091"/>
    <w:rsid w:val="00F64838"/>
    <w:rsid w:val="00F64B8B"/>
    <w:rsid w:val="00F6675B"/>
    <w:rsid w:val="00F80A87"/>
    <w:rsid w:val="00F82F62"/>
    <w:rsid w:val="00F847A0"/>
    <w:rsid w:val="00F8581D"/>
    <w:rsid w:val="00F8627F"/>
    <w:rsid w:val="00F91E63"/>
    <w:rsid w:val="00F92A46"/>
    <w:rsid w:val="00F9490B"/>
    <w:rsid w:val="00F94A5A"/>
    <w:rsid w:val="00F955B6"/>
    <w:rsid w:val="00F95F6E"/>
    <w:rsid w:val="00F967D0"/>
    <w:rsid w:val="00F9743B"/>
    <w:rsid w:val="00FA1675"/>
    <w:rsid w:val="00FA2F5A"/>
    <w:rsid w:val="00FA7F69"/>
    <w:rsid w:val="00FB18E6"/>
    <w:rsid w:val="00FB1A7C"/>
    <w:rsid w:val="00FB3B7D"/>
    <w:rsid w:val="00FB5A02"/>
    <w:rsid w:val="00FB5C13"/>
    <w:rsid w:val="00FB5DFF"/>
    <w:rsid w:val="00FB6683"/>
    <w:rsid w:val="00FC0B64"/>
    <w:rsid w:val="00FC2117"/>
    <w:rsid w:val="00FC35CE"/>
    <w:rsid w:val="00FC3EFF"/>
    <w:rsid w:val="00FC5C17"/>
    <w:rsid w:val="00FD1880"/>
    <w:rsid w:val="00FD5BBC"/>
    <w:rsid w:val="00FD61B8"/>
    <w:rsid w:val="00FD679B"/>
    <w:rsid w:val="00FE2F90"/>
    <w:rsid w:val="00FE3152"/>
    <w:rsid w:val="00FF1ECB"/>
    <w:rsid w:val="00FF2647"/>
    <w:rsid w:val="00FF6827"/>
    <w:rsid w:val="00FF73BC"/>
    <w:rsid w:val="01953A7B"/>
    <w:rsid w:val="01C4191C"/>
    <w:rsid w:val="02225FE5"/>
    <w:rsid w:val="027C5CDA"/>
    <w:rsid w:val="02D308AE"/>
    <w:rsid w:val="032B0F21"/>
    <w:rsid w:val="036D716A"/>
    <w:rsid w:val="03A5079A"/>
    <w:rsid w:val="03AD76DE"/>
    <w:rsid w:val="03B3231A"/>
    <w:rsid w:val="040563AB"/>
    <w:rsid w:val="04134D99"/>
    <w:rsid w:val="04A17571"/>
    <w:rsid w:val="04A9250C"/>
    <w:rsid w:val="054416C3"/>
    <w:rsid w:val="05992B5E"/>
    <w:rsid w:val="067E36CD"/>
    <w:rsid w:val="06B225CD"/>
    <w:rsid w:val="06C47AFC"/>
    <w:rsid w:val="06D849E3"/>
    <w:rsid w:val="075124A1"/>
    <w:rsid w:val="079275C5"/>
    <w:rsid w:val="07BB74EB"/>
    <w:rsid w:val="07BD085B"/>
    <w:rsid w:val="07E87D2B"/>
    <w:rsid w:val="08097722"/>
    <w:rsid w:val="08507BD6"/>
    <w:rsid w:val="08AC5F16"/>
    <w:rsid w:val="09674859"/>
    <w:rsid w:val="0B2A6A02"/>
    <w:rsid w:val="0B7553DF"/>
    <w:rsid w:val="0B7B17DB"/>
    <w:rsid w:val="0BE51A50"/>
    <w:rsid w:val="0C09305F"/>
    <w:rsid w:val="0E01634D"/>
    <w:rsid w:val="0E0426C3"/>
    <w:rsid w:val="0E681394"/>
    <w:rsid w:val="0EC4288A"/>
    <w:rsid w:val="0EC9758B"/>
    <w:rsid w:val="0ED1622E"/>
    <w:rsid w:val="0ED541B5"/>
    <w:rsid w:val="0EEC0828"/>
    <w:rsid w:val="0EFA27F1"/>
    <w:rsid w:val="0F261AF0"/>
    <w:rsid w:val="0F605A05"/>
    <w:rsid w:val="0F6C1F31"/>
    <w:rsid w:val="0F8F199B"/>
    <w:rsid w:val="0FF03F25"/>
    <w:rsid w:val="0FFB10B2"/>
    <w:rsid w:val="104544E0"/>
    <w:rsid w:val="105647DD"/>
    <w:rsid w:val="106C6640"/>
    <w:rsid w:val="10943D74"/>
    <w:rsid w:val="10CD786E"/>
    <w:rsid w:val="110019A3"/>
    <w:rsid w:val="111A1834"/>
    <w:rsid w:val="112F2C98"/>
    <w:rsid w:val="11621B4C"/>
    <w:rsid w:val="116550B1"/>
    <w:rsid w:val="117C1CB1"/>
    <w:rsid w:val="1297468C"/>
    <w:rsid w:val="12C917C0"/>
    <w:rsid w:val="134D5792"/>
    <w:rsid w:val="13C91319"/>
    <w:rsid w:val="13D83DB3"/>
    <w:rsid w:val="13E40BE6"/>
    <w:rsid w:val="14326A27"/>
    <w:rsid w:val="14621CF2"/>
    <w:rsid w:val="147807D8"/>
    <w:rsid w:val="15033573"/>
    <w:rsid w:val="157B6EC6"/>
    <w:rsid w:val="15D87EFC"/>
    <w:rsid w:val="16004C10"/>
    <w:rsid w:val="1618150F"/>
    <w:rsid w:val="16610AAA"/>
    <w:rsid w:val="16BC62EE"/>
    <w:rsid w:val="170C7ED8"/>
    <w:rsid w:val="176C26F4"/>
    <w:rsid w:val="177B053E"/>
    <w:rsid w:val="17AB2D7C"/>
    <w:rsid w:val="17D337A4"/>
    <w:rsid w:val="180E0127"/>
    <w:rsid w:val="18347C61"/>
    <w:rsid w:val="18847709"/>
    <w:rsid w:val="18B4580A"/>
    <w:rsid w:val="18D45312"/>
    <w:rsid w:val="191F5B78"/>
    <w:rsid w:val="192B34A1"/>
    <w:rsid w:val="19373E49"/>
    <w:rsid w:val="19593C2C"/>
    <w:rsid w:val="196176E6"/>
    <w:rsid w:val="197D7728"/>
    <w:rsid w:val="19824733"/>
    <w:rsid w:val="19BA5A77"/>
    <w:rsid w:val="1AAE07A3"/>
    <w:rsid w:val="1AB1360A"/>
    <w:rsid w:val="1AC87050"/>
    <w:rsid w:val="1AE90944"/>
    <w:rsid w:val="1B4D4570"/>
    <w:rsid w:val="1B52653E"/>
    <w:rsid w:val="1C606ACF"/>
    <w:rsid w:val="1CAF68FD"/>
    <w:rsid w:val="1CB162B3"/>
    <w:rsid w:val="1DB95802"/>
    <w:rsid w:val="1DC51D0D"/>
    <w:rsid w:val="1DFE327B"/>
    <w:rsid w:val="1DFF1AFB"/>
    <w:rsid w:val="1E346CF2"/>
    <w:rsid w:val="1EA57ED1"/>
    <w:rsid w:val="1EE208FB"/>
    <w:rsid w:val="1F262B43"/>
    <w:rsid w:val="1F7B019A"/>
    <w:rsid w:val="1F8050FC"/>
    <w:rsid w:val="20076D0E"/>
    <w:rsid w:val="20FD0AF6"/>
    <w:rsid w:val="213046AB"/>
    <w:rsid w:val="21824130"/>
    <w:rsid w:val="218B5193"/>
    <w:rsid w:val="219C6102"/>
    <w:rsid w:val="21AF433A"/>
    <w:rsid w:val="220E6B58"/>
    <w:rsid w:val="223651E9"/>
    <w:rsid w:val="22394F48"/>
    <w:rsid w:val="22DE6B30"/>
    <w:rsid w:val="23550D0C"/>
    <w:rsid w:val="23647C87"/>
    <w:rsid w:val="237E5EA4"/>
    <w:rsid w:val="23913C75"/>
    <w:rsid w:val="23BC0DE0"/>
    <w:rsid w:val="23CF6A09"/>
    <w:rsid w:val="23F63674"/>
    <w:rsid w:val="24193A7C"/>
    <w:rsid w:val="243F6F6E"/>
    <w:rsid w:val="245A1CAE"/>
    <w:rsid w:val="249F680F"/>
    <w:rsid w:val="2502031E"/>
    <w:rsid w:val="258C1A29"/>
    <w:rsid w:val="25B76F7A"/>
    <w:rsid w:val="26155EFD"/>
    <w:rsid w:val="2626151F"/>
    <w:rsid w:val="2669771D"/>
    <w:rsid w:val="26860C65"/>
    <w:rsid w:val="26C100F9"/>
    <w:rsid w:val="27164B0D"/>
    <w:rsid w:val="27736369"/>
    <w:rsid w:val="27EB2BDC"/>
    <w:rsid w:val="282C1690"/>
    <w:rsid w:val="284B4563"/>
    <w:rsid w:val="292409DB"/>
    <w:rsid w:val="2948084E"/>
    <w:rsid w:val="29BD1A9C"/>
    <w:rsid w:val="2A497968"/>
    <w:rsid w:val="2A680147"/>
    <w:rsid w:val="2A95344C"/>
    <w:rsid w:val="2AA864C4"/>
    <w:rsid w:val="2B134ED0"/>
    <w:rsid w:val="2B1F43B0"/>
    <w:rsid w:val="2B286AA0"/>
    <w:rsid w:val="2BA61F1F"/>
    <w:rsid w:val="2BF502BF"/>
    <w:rsid w:val="2C0D7FDD"/>
    <w:rsid w:val="2C3A713D"/>
    <w:rsid w:val="2CED2A0F"/>
    <w:rsid w:val="2D1A509A"/>
    <w:rsid w:val="2D4C0291"/>
    <w:rsid w:val="2DC771B6"/>
    <w:rsid w:val="2DD81B0D"/>
    <w:rsid w:val="2E3677CD"/>
    <w:rsid w:val="2E5014BE"/>
    <w:rsid w:val="2E9A63A7"/>
    <w:rsid w:val="2EDF6916"/>
    <w:rsid w:val="2EF6658E"/>
    <w:rsid w:val="2FE97C07"/>
    <w:rsid w:val="30A052AC"/>
    <w:rsid w:val="31975D2B"/>
    <w:rsid w:val="31A57853"/>
    <w:rsid w:val="321C3AE7"/>
    <w:rsid w:val="32273612"/>
    <w:rsid w:val="32EC2422"/>
    <w:rsid w:val="330F4EF2"/>
    <w:rsid w:val="334C16E3"/>
    <w:rsid w:val="33A71A43"/>
    <w:rsid w:val="33AB2544"/>
    <w:rsid w:val="3438639B"/>
    <w:rsid w:val="34646556"/>
    <w:rsid w:val="34D10C9B"/>
    <w:rsid w:val="36116197"/>
    <w:rsid w:val="36A37B13"/>
    <w:rsid w:val="3718147F"/>
    <w:rsid w:val="3722443A"/>
    <w:rsid w:val="375367C6"/>
    <w:rsid w:val="376D2DA6"/>
    <w:rsid w:val="37EC3596"/>
    <w:rsid w:val="38283922"/>
    <w:rsid w:val="38372A22"/>
    <w:rsid w:val="384460EB"/>
    <w:rsid w:val="385775AE"/>
    <w:rsid w:val="38F470F6"/>
    <w:rsid w:val="38FE416C"/>
    <w:rsid w:val="3AC7655B"/>
    <w:rsid w:val="3B10598E"/>
    <w:rsid w:val="3B211DD0"/>
    <w:rsid w:val="3BB7185E"/>
    <w:rsid w:val="3C6D66C1"/>
    <w:rsid w:val="3CA27A76"/>
    <w:rsid w:val="3CF00191"/>
    <w:rsid w:val="3D920A40"/>
    <w:rsid w:val="3DDE6488"/>
    <w:rsid w:val="3E175A62"/>
    <w:rsid w:val="3E7966A3"/>
    <w:rsid w:val="3E92054E"/>
    <w:rsid w:val="3EB45768"/>
    <w:rsid w:val="3F0E433B"/>
    <w:rsid w:val="3F1B56E9"/>
    <w:rsid w:val="3F2B5488"/>
    <w:rsid w:val="3F4D32DF"/>
    <w:rsid w:val="3F514ED4"/>
    <w:rsid w:val="3FB06141"/>
    <w:rsid w:val="3FEA7C02"/>
    <w:rsid w:val="40595EEC"/>
    <w:rsid w:val="40A73618"/>
    <w:rsid w:val="40C97CC8"/>
    <w:rsid w:val="410D69C3"/>
    <w:rsid w:val="410F1738"/>
    <w:rsid w:val="42417F99"/>
    <w:rsid w:val="429D6BB3"/>
    <w:rsid w:val="42DB35E4"/>
    <w:rsid w:val="436E1EBE"/>
    <w:rsid w:val="43843809"/>
    <w:rsid w:val="43903372"/>
    <w:rsid w:val="43E95F6C"/>
    <w:rsid w:val="440B5E1C"/>
    <w:rsid w:val="445E3DB5"/>
    <w:rsid w:val="447B2F9F"/>
    <w:rsid w:val="44D258CF"/>
    <w:rsid w:val="44E76B5A"/>
    <w:rsid w:val="4567089F"/>
    <w:rsid w:val="45A52170"/>
    <w:rsid w:val="462252A9"/>
    <w:rsid w:val="46330020"/>
    <w:rsid w:val="46723167"/>
    <w:rsid w:val="46A02A6D"/>
    <w:rsid w:val="46FA73EB"/>
    <w:rsid w:val="4789273E"/>
    <w:rsid w:val="47BF79ED"/>
    <w:rsid w:val="47ED6060"/>
    <w:rsid w:val="4831150E"/>
    <w:rsid w:val="48EF203F"/>
    <w:rsid w:val="491C4C1D"/>
    <w:rsid w:val="494F5F79"/>
    <w:rsid w:val="499320E9"/>
    <w:rsid w:val="499F5B74"/>
    <w:rsid w:val="49D058D8"/>
    <w:rsid w:val="4A722BD1"/>
    <w:rsid w:val="4A7513C8"/>
    <w:rsid w:val="4AB12161"/>
    <w:rsid w:val="4AB16FF2"/>
    <w:rsid w:val="4AE36FEB"/>
    <w:rsid w:val="4B5C0391"/>
    <w:rsid w:val="4B9810E9"/>
    <w:rsid w:val="4BE90997"/>
    <w:rsid w:val="4BF51E76"/>
    <w:rsid w:val="4C4338FE"/>
    <w:rsid w:val="4CED5B4C"/>
    <w:rsid w:val="4CFB7EEB"/>
    <w:rsid w:val="4D24388B"/>
    <w:rsid w:val="4DA71B9B"/>
    <w:rsid w:val="4DCE2F44"/>
    <w:rsid w:val="4E000067"/>
    <w:rsid w:val="4E34368D"/>
    <w:rsid w:val="4E803B19"/>
    <w:rsid w:val="4E905D42"/>
    <w:rsid w:val="4ED35D12"/>
    <w:rsid w:val="4EFA0A25"/>
    <w:rsid w:val="4F477C34"/>
    <w:rsid w:val="50206544"/>
    <w:rsid w:val="50242659"/>
    <w:rsid w:val="50576A1B"/>
    <w:rsid w:val="50C01239"/>
    <w:rsid w:val="51096174"/>
    <w:rsid w:val="51B078D0"/>
    <w:rsid w:val="51BB7195"/>
    <w:rsid w:val="51F050F6"/>
    <w:rsid w:val="52365AA1"/>
    <w:rsid w:val="52726D5A"/>
    <w:rsid w:val="52E32BAC"/>
    <w:rsid w:val="52EA5AFE"/>
    <w:rsid w:val="532846FC"/>
    <w:rsid w:val="53301110"/>
    <w:rsid w:val="53A16648"/>
    <w:rsid w:val="53B80A78"/>
    <w:rsid w:val="53D7767F"/>
    <w:rsid w:val="54324A13"/>
    <w:rsid w:val="54745776"/>
    <w:rsid w:val="54BE296C"/>
    <w:rsid w:val="54BF5628"/>
    <w:rsid w:val="552F2087"/>
    <w:rsid w:val="560D3B4D"/>
    <w:rsid w:val="566D6D84"/>
    <w:rsid w:val="5707763B"/>
    <w:rsid w:val="571C46C7"/>
    <w:rsid w:val="578E70F1"/>
    <w:rsid w:val="57937CE2"/>
    <w:rsid w:val="58172272"/>
    <w:rsid w:val="58222546"/>
    <w:rsid w:val="58273CF3"/>
    <w:rsid w:val="58531CBC"/>
    <w:rsid w:val="59E70445"/>
    <w:rsid w:val="5A980F49"/>
    <w:rsid w:val="5AAF5E21"/>
    <w:rsid w:val="5ABB5C6A"/>
    <w:rsid w:val="5B120C60"/>
    <w:rsid w:val="5B3C2907"/>
    <w:rsid w:val="5B4844FC"/>
    <w:rsid w:val="5B692C47"/>
    <w:rsid w:val="5B79504C"/>
    <w:rsid w:val="5BBB770C"/>
    <w:rsid w:val="5BE40AA1"/>
    <w:rsid w:val="5C893176"/>
    <w:rsid w:val="5D6F7348"/>
    <w:rsid w:val="5DA33147"/>
    <w:rsid w:val="5DC11911"/>
    <w:rsid w:val="5E11787E"/>
    <w:rsid w:val="5E5E7F42"/>
    <w:rsid w:val="5ED66C62"/>
    <w:rsid w:val="5F131D61"/>
    <w:rsid w:val="5FA07D38"/>
    <w:rsid w:val="5FD6575B"/>
    <w:rsid w:val="60195759"/>
    <w:rsid w:val="60364835"/>
    <w:rsid w:val="60840AF3"/>
    <w:rsid w:val="609B7797"/>
    <w:rsid w:val="610A4208"/>
    <w:rsid w:val="61301062"/>
    <w:rsid w:val="61663733"/>
    <w:rsid w:val="625B7527"/>
    <w:rsid w:val="62854B1E"/>
    <w:rsid w:val="62BF4EBF"/>
    <w:rsid w:val="62C014E1"/>
    <w:rsid w:val="62C719D8"/>
    <w:rsid w:val="639435AD"/>
    <w:rsid w:val="63F1388D"/>
    <w:rsid w:val="64374B46"/>
    <w:rsid w:val="64750A9E"/>
    <w:rsid w:val="647C10F3"/>
    <w:rsid w:val="65084053"/>
    <w:rsid w:val="65705687"/>
    <w:rsid w:val="65BA3F9A"/>
    <w:rsid w:val="65DC3ABE"/>
    <w:rsid w:val="6652613B"/>
    <w:rsid w:val="669016B5"/>
    <w:rsid w:val="66E54F25"/>
    <w:rsid w:val="679878F0"/>
    <w:rsid w:val="67A46F0E"/>
    <w:rsid w:val="67D126D4"/>
    <w:rsid w:val="67EF451A"/>
    <w:rsid w:val="689B724A"/>
    <w:rsid w:val="69981651"/>
    <w:rsid w:val="6A8C0C81"/>
    <w:rsid w:val="6A9C6E10"/>
    <w:rsid w:val="6AB77E9C"/>
    <w:rsid w:val="6AD311EA"/>
    <w:rsid w:val="6B1B492C"/>
    <w:rsid w:val="6B3B5A25"/>
    <w:rsid w:val="6B6557B6"/>
    <w:rsid w:val="6B672F88"/>
    <w:rsid w:val="6B8F648C"/>
    <w:rsid w:val="6BB9636E"/>
    <w:rsid w:val="6C714A85"/>
    <w:rsid w:val="6CF20E78"/>
    <w:rsid w:val="6D2C7AF4"/>
    <w:rsid w:val="6D8912B3"/>
    <w:rsid w:val="6DA64FEF"/>
    <w:rsid w:val="6E3654C4"/>
    <w:rsid w:val="6E3E2D62"/>
    <w:rsid w:val="6EC27BC3"/>
    <w:rsid w:val="6EC359D8"/>
    <w:rsid w:val="6EE84D28"/>
    <w:rsid w:val="6F050AFE"/>
    <w:rsid w:val="6F620DCA"/>
    <w:rsid w:val="6F87515C"/>
    <w:rsid w:val="6F972BF2"/>
    <w:rsid w:val="6FAF6ED3"/>
    <w:rsid w:val="709C1D6A"/>
    <w:rsid w:val="723637B5"/>
    <w:rsid w:val="72BD4B41"/>
    <w:rsid w:val="72D92D0A"/>
    <w:rsid w:val="730009AC"/>
    <w:rsid w:val="7321695E"/>
    <w:rsid w:val="73507424"/>
    <w:rsid w:val="736A5E0C"/>
    <w:rsid w:val="7374088A"/>
    <w:rsid w:val="754D0B80"/>
    <w:rsid w:val="75AE0992"/>
    <w:rsid w:val="764C04A9"/>
    <w:rsid w:val="767B7668"/>
    <w:rsid w:val="76FC0DF0"/>
    <w:rsid w:val="77216AF1"/>
    <w:rsid w:val="774759AF"/>
    <w:rsid w:val="778E51D2"/>
    <w:rsid w:val="783A62DD"/>
    <w:rsid w:val="79092343"/>
    <w:rsid w:val="79B268BF"/>
    <w:rsid w:val="7A347BE1"/>
    <w:rsid w:val="7A5974A5"/>
    <w:rsid w:val="7AA6505A"/>
    <w:rsid w:val="7AC562FD"/>
    <w:rsid w:val="7B2F14B1"/>
    <w:rsid w:val="7B405C9A"/>
    <w:rsid w:val="7B424244"/>
    <w:rsid w:val="7B4A2A0B"/>
    <w:rsid w:val="7B4A4308"/>
    <w:rsid w:val="7B864E87"/>
    <w:rsid w:val="7C310EBE"/>
    <w:rsid w:val="7D562296"/>
    <w:rsid w:val="7DE40179"/>
    <w:rsid w:val="7E0E2D20"/>
    <w:rsid w:val="7E731CDF"/>
    <w:rsid w:val="7EA70003"/>
    <w:rsid w:val="7EBA609E"/>
    <w:rsid w:val="7EBF318E"/>
    <w:rsid w:val="7EC176FE"/>
    <w:rsid w:val="7EEA3B20"/>
    <w:rsid w:val="7F2E5F5C"/>
    <w:rsid w:val="7F417658"/>
    <w:rsid w:val="7F923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name="annotation text"/>
    <w:lsdException w:qFormat="1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uiPriority="0" w:name="Table Grid"/>
    <w:lsdException w:uiPriority="0" w:name="Table Theme"/>
    <w:lsdException w:qFormat="1" w:unhideWhenUsed="0" w:uiPriority="0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Quote"/>
    <w:lsdException w:qFormat="1" w:unhideWhenUsed="0" w:uiPriority="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25"/>
    <w:qFormat/>
    <w:uiPriority w:val="0"/>
    <w:pPr>
      <w:pBdr>
        <w:bottom w:val="single" w:color="365F91" w:sz="12" w:space="1"/>
      </w:pBdr>
      <w:spacing w:before="600" w:after="80"/>
      <w:outlineLvl w:val="0"/>
    </w:pPr>
    <w:rPr>
      <w:rFonts w:ascii="Cambria" w:hAnsi="Cambria"/>
      <w:b/>
      <w:bCs/>
      <w:color w:val="365F91"/>
      <w:sz w:val="24"/>
      <w:szCs w:val="24"/>
    </w:rPr>
  </w:style>
  <w:style w:type="paragraph" w:styleId="3">
    <w:name w:val="heading 2"/>
    <w:basedOn w:val="1"/>
    <w:next w:val="1"/>
    <w:link w:val="26"/>
    <w:qFormat/>
    <w:uiPriority w:val="0"/>
    <w:pPr>
      <w:pBdr>
        <w:bottom w:val="single" w:color="4F81BD" w:sz="8" w:space="1"/>
      </w:pBdr>
      <w:spacing w:before="200" w:after="80"/>
      <w:outlineLvl w:val="1"/>
    </w:pPr>
    <w:rPr>
      <w:rFonts w:ascii="Cambria" w:hAnsi="Cambria"/>
      <w:color w:val="365F91"/>
      <w:sz w:val="24"/>
      <w:szCs w:val="24"/>
    </w:rPr>
  </w:style>
  <w:style w:type="paragraph" w:styleId="4">
    <w:name w:val="heading 3"/>
    <w:basedOn w:val="1"/>
    <w:next w:val="1"/>
    <w:link w:val="27"/>
    <w:qFormat/>
    <w:uiPriority w:val="0"/>
    <w:pPr>
      <w:pBdr>
        <w:bottom w:val="single" w:color="95B3D7" w:sz="4" w:space="1"/>
      </w:pBdr>
      <w:spacing w:before="200" w:after="80"/>
      <w:outlineLvl w:val="2"/>
    </w:pPr>
    <w:rPr>
      <w:rFonts w:ascii="Cambria" w:hAnsi="Cambria"/>
      <w:color w:val="4F81BD"/>
      <w:sz w:val="24"/>
      <w:szCs w:val="24"/>
    </w:rPr>
  </w:style>
  <w:style w:type="paragraph" w:styleId="5">
    <w:name w:val="heading 4"/>
    <w:basedOn w:val="1"/>
    <w:next w:val="1"/>
    <w:link w:val="28"/>
    <w:qFormat/>
    <w:uiPriority w:val="0"/>
    <w:pPr>
      <w:pBdr>
        <w:bottom w:val="single" w:color="B8CCE4" w:sz="4" w:space="2"/>
      </w:pBdr>
      <w:spacing w:before="200" w:after="80"/>
      <w:outlineLvl w:val="3"/>
    </w:pPr>
    <w:rPr>
      <w:rFonts w:ascii="Cambria" w:hAnsi="Cambria"/>
      <w:i/>
      <w:iCs/>
      <w:color w:val="4F81BD"/>
      <w:sz w:val="24"/>
      <w:szCs w:val="24"/>
    </w:rPr>
  </w:style>
  <w:style w:type="paragraph" w:styleId="6">
    <w:name w:val="heading 5"/>
    <w:basedOn w:val="1"/>
    <w:next w:val="1"/>
    <w:link w:val="29"/>
    <w:qFormat/>
    <w:uiPriority w:val="0"/>
    <w:pPr>
      <w:spacing w:before="200" w:after="80"/>
      <w:outlineLvl w:val="4"/>
    </w:pPr>
    <w:rPr>
      <w:rFonts w:ascii="Cambria" w:hAnsi="Cambria"/>
      <w:color w:val="4F81BD"/>
    </w:rPr>
  </w:style>
  <w:style w:type="paragraph" w:styleId="7">
    <w:name w:val="heading 6"/>
    <w:basedOn w:val="1"/>
    <w:next w:val="1"/>
    <w:link w:val="30"/>
    <w:qFormat/>
    <w:uiPriority w:val="0"/>
    <w:pPr>
      <w:spacing w:before="280" w:after="100"/>
      <w:outlineLvl w:val="5"/>
    </w:pPr>
    <w:rPr>
      <w:rFonts w:ascii="Cambria" w:hAnsi="Cambria"/>
      <w:i/>
      <w:iCs/>
      <w:color w:val="4F81BD"/>
    </w:rPr>
  </w:style>
  <w:style w:type="paragraph" w:styleId="8">
    <w:name w:val="heading 7"/>
    <w:basedOn w:val="1"/>
    <w:next w:val="1"/>
    <w:link w:val="31"/>
    <w:qFormat/>
    <w:uiPriority w:val="0"/>
    <w:pPr>
      <w:spacing w:before="320" w:after="100"/>
      <w:outlineLvl w:val="6"/>
    </w:pPr>
    <w:rPr>
      <w:rFonts w:ascii="Cambria" w:hAnsi="Cambria"/>
      <w:b/>
      <w:bCs/>
      <w:color w:val="9BBB59"/>
      <w:sz w:val="20"/>
      <w:szCs w:val="20"/>
    </w:rPr>
  </w:style>
  <w:style w:type="paragraph" w:styleId="9">
    <w:name w:val="heading 8"/>
    <w:basedOn w:val="1"/>
    <w:next w:val="1"/>
    <w:link w:val="32"/>
    <w:qFormat/>
    <w:uiPriority w:val="0"/>
    <w:pPr>
      <w:spacing w:before="320" w:after="100"/>
      <w:outlineLvl w:val="7"/>
    </w:pPr>
    <w:rPr>
      <w:rFonts w:ascii="Cambria" w:hAnsi="Cambria"/>
      <w:b/>
      <w:bCs/>
      <w:i/>
      <w:iCs/>
      <w:color w:val="9BBB59"/>
      <w:sz w:val="20"/>
      <w:szCs w:val="20"/>
    </w:rPr>
  </w:style>
  <w:style w:type="paragraph" w:styleId="10">
    <w:name w:val="heading 9"/>
    <w:basedOn w:val="1"/>
    <w:next w:val="1"/>
    <w:link w:val="33"/>
    <w:qFormat/>
    <w:uiPriority w:val="0"/>
    <w:pPr>
      <w:spacing w:before="320" w:after="100"/>
      <w:outlineLvl w:val="8"/>
    </w:pPr>
    <w:rPr>
      <w:rFonts w:ascii="Cambria" w:hAnsi="Cambria"/>
      <w:i/>
      <w:iCs/>
      <w:color w:val="9BBB59"/>
      <w:sz w:val="20"/>
      <w:szCs w:val="20"/>
    </w:rPr>
  </w:style>
  <w:style w:type="character" w:default="1" w:styleId="21">
    <w:name w:val="Default Paragraph Font"/>
    <w:semiHidden/>
    <w:unhideWhenUsed/>
    <w:qFormat/>
    <w:uiPriority w:val="1"/>
  </w:style>
  <w:style w:type="table" w:default="1" w:styleId="2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Document Map"/>
    <w:basedOn w:val="1"/>
    <w:link w:val="34"/>
    <w:semiHidden/>
    <w:qFormat/>
    <w:uiPriority w:val="0"/>
    <w:pPr>
      <w:shd w:val="clear" w:color="auto" w:fill="000080"/>
    </w:pPr>
    <w:rPr>
      <w:rFonts w:eastAsia="Times New Roman"/>
      <w:shd w:val="clear" w:color="auto" w:fill="000080"/>
    </w:rPr>
  </w:style>
  <w:style w:type="paragraph" w:styleId="12">
    <w:name w:val="annotation text"/>
    <w:basedOn w:val="1"/>
    <w:link w:val="35"/>
    <w:semiHidden/>
    <w:qFormat/>
    <w:uiPriority w:val="0"/>
    <w:pPr>
      <w:jc w:val="left"/>
    </w:pPr>
  </w:style>
  <w:style w:type="paragraph" w:styleId="13">
    <w:name w:val="Body Text"/>
    <w:basedOn w:val="1"/>
    <w:link w:val="36"/>
    <w:qFormat/>
    <w:uiPriority w:val="0"/>
    <w:rPr>
      <w:rFonts w:eastAsia="Times New Roman"/>
      <w:sz w:val="18"/>
      <w:szCs w:val="20"/>
    </w:rPr>
  </w:style>
  <w:style w:type="paragraph" w:styleId="14">
    <w:name w:val="Balloon Text"/>
    <w:basedOn w:val="1"/>
    <w:link w:val="37"/>
    <w:semiHidden/>
    <w:qFormat/>
    <w:uiPriority w:val="0"/>
    <w:rPr>
      <w:rFonts w:eastAsia="Times New Roman"/>
      <w:sz w:val="18"/>
      <w:szCs w:val="18"/>
    </w:rPr>
  </w:style>
  <w:style w:type="paragraph" w:styleId="15">
    <w:name w:val="footer"/>
    <w:basedOn w:val="1"/>
    <w:link w:val="38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eastAsia="Times New Roman"/>
      <w:sz w:val="18"/>
      <w:szCs w:val="18"/>
    </w:rPr>
  </w:style>
  <w:style w:type="paragraph" w:styleId="16">
    <w:name w:val="header"/>
    <w:basedOn w:val="1"/>
    <w:link w:val="39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eastAsia="Times New Roman"/>
      <w:sz w:val="18"/>
      <w:szCs w:val="18"/>
    </w:rPr>
  </w:style>
  <w:style w:type="paragraph" w:styleId="17">
    <w:name w:val="Subtitle"/>
    <w:basedOn w:val="1"/>
    <w:next w:val="1"/>
    <w:link w:val="40"/>
    <w:qFormat/>
    <w:uiPriority w:val="0"/>
    <w:pPr>
      <w:spacing w:before="200" w:after="900"/>
      <w:jc w:val="right"/>
    </w:pPr>
    <w:rPr>
      <w:rFonts w:ascii="Calibri" w:eastAsia="Times New Roman"/>
      <w:i/>
      <w:iCs/>
      <w:kern w:val="0"/>
      <w:sz w:val="24"/>
      <w:szCs w:val="24"/>
    </w:rPr>
  </w:style>
  <w:style w:type="paragraph" w:styleId="18">
    <w:name w:val="Title"/>
    <w:basedOn w:val="1"/>
    <w:next w:val="1"/>
    <w:link w:val="41"/>
    <w:qFormat/>
    <w:uiPriority w:val="0"/>
    <w:pPr>
      <w:pBdr>
        <w:top w:val="single" w:color="A7BFDE" w:sz="8" w:space="10"/>
        <w:bottom w:val="single" w:color="9BBB59" w:sz="24" w:space="15"/>
      </w:pBdr>
      <w:jc w:val="center"/>
    </w:pPr>
    <w:rPr>
      <w:rFonts w:ascii="Cambria" w:hAnsi="Cambria"/>
      <w:i/>
      <w:iCs/>
      <w:color w:val="243F60"/>
      <w:kern w:val="0"/>
      <w:sz w:val="60"/>
      <w:szCs w:val="60"/>
    </w:rPr>
  </w:style>
  <w:style w:type="paragraph" w:styleId="19">
    <w:name w:val="annotation subject"/>
    <w:basedOn w:val="12"/>
    <w:next w:val="12"/>
    <w:link w:val="42"/>
    <w:semiHidden/>
    <w:qFormat/>
    <w:uiPriority w:val="0"/>
    <w:rPr>
      <w:b/>
      <w:bCs/>
    </w:rPr>
  </w:style>
  <w:style w:type="character" w:styleId="22">
    <w:name w:val="page number"/>
    <w:basedOn w:val="21"/>
    <w:qFormat/>
    <w:uiPriority w:val="0"/>
  </w:style>
  <w:style w:type="character" w:styleId="23">
    <w:name w:val="FollowedHyperlink"/>
    <w:qFormat/>
    <w:uiPriority w:val="0"/>
    <w:rPr>
      <w:color w:val="000000"/>
      <w:sz w:val="14"/>
      <w:szCs w:val="14"/>
      <w:u w:val="none"/>
    </w:rPr>
  </w:style>
  <w:style w:type="character" w:styleId="24">
    <w:name w:val="Hyperlink"/>
    <w:qFormat/>
    <w:uiPriority w:val="0"/>
    <w:rPr>
      <w:color w:val="000000"/>
      <w:sz w:val="14"/>
      <w:szCs w:val="14"/>
      <w:u w:val="none"/>
    </w:rPr>
  </w:style>
  <w:style w:type="character" w:customStyle="1" w:styleId="25">
    <w:name w:val="标题 1 字符"/>
    <w:link w:val="2"/>
    <w:qFormat/>
    <w:uiPriority w:val="0"/>
    <w:rPr>
      <w:rFonts w:ascii="Cambria" w:hAnsi="Cambria" w:eastAsia="宋体"/>
      <w:b/>
      <w:bCs/>
      <w:color w:val="365F91"/>
      <w:kern w:val="2"/>
      <w:sz w:val="24"/>
      <w:szCs w:val="24"/>
      <w:lang w:val="en-US" w:eastAsia="zh-CN" w:bidi="ar-SA"/>
    </w:rPr>
  </w:style>
  <w:style w:type="character" w:customStyle="1" w:styleId="26">
    <w:name w:val="标题 2 字符"/>
    <w:link w:val="3"/>
    <w:semiHidden/>
    <w:qFormat/>
    <w:uiPriority w:val="0"/>
    <w:rPr>
      <w:rFonts w:ascii="Cambria" w:hAnsi="Cambria" w:eastAsia="宋体"/>
      <w:color w:val="365F91"/>
      <w:kern w:val="2"/>
      <w:sz w:val="24"/>
      <w:szCs w:val="24"/>
      <w:lang w:val="en-US" w:eastAsia="zh-CN" w:bidi="ar-SA"/>
    </w:rPr>
  </w:style>
  <w:style w:type="character" w:customStyle="1" w:styleId="27">
    <w:name w:val="标题 3 字符"/>
    <w:link w:val="4"/>
    <w:semiHidden/>
    <w:qFormat/>
    <w:uiPriority w:val="0"/>
    <w:rPr>
      <w:rFonts w:ascii="Cambria" w:hAnsi="Cambria" w:eastAsia="宋体"/>
      <w:color w:val="4F81BD"/>
      <w:kern w:val="2"/>
      <w:sz w:val="24"/>
      <w:szCs w:val="24"/>
      <w:lang w:val="en-US" w:eastAsia="zh-CN" w:bidi="ar-SA"/>
    </w:rPr>
  </w:style>
  <w:style w:type="character" w:customStyle="1" w:styleId="28">
    <w:name w:val="标题 4 字符"/>
    <w:link w:val="5"/>
    <w:semiHidden/>
    <w:qFormat/>
    <w:uiPriority w:val="0"/>
    <w:rPr>
      <w:rFonts w:ascii="Cambria" w:hAnsi="Cambria" w:eastAsia="宋体"/>
      <w:i/>
      <w:iCs/>
      <w:color w:val="4F81BD"/>
      <w:kern w:val="2"/>
      <w:sz w:val="24"/>
      <w:szCs w:val="24"/>
      <w:lang w:val="en-US" w:eastAsia="zh-CN" w:bidi="ar-SA"/>
    </w:rPr>
  </w:style>
  <w:style w:type="character" w:customStyle="1" w:styleId="29">
    <w:name w:val="标题 5 字符"/>
    <w:link w:val="6"/>
    <w:semiHidden/>
    <w:qFormat/>
    <w:uiPriority w:val="0"/>
    <w:rPr>
      <w:rFonts w:ascii="Cambria" w:hAnsi="Cambria" w:eastAsia="宋体"/>
      <w:color w:val="4F81BD"/>
      <w:kern w:val="2"/>
      <w:sz w:val="21"/>
      <w:szCs w:val="21"/>
      <w:lang w:val="en-US" w:eastAsia="zh-CN" w:bidi="ar-SA"/>
    </w:rPr>
  </w:style>
  <w:style w:type="character" w:customStyle="1" w:styleId="30">
    <w:name w:val="标题 6 字符"/>
    <w:link w:val="7"/>
    <w:semiHidden/>
    <w:qFormat/>
    <w:uiPriority w:val="0"/>
    <w:rPr>
      <w:rFonts w:ascii="Cambria" w:hAnsi="Cambria" w:eastAsia="宋体"/>
      <w:i/>
      <w:iCs/>
      <w:color w:val="4F81BD"/>
      <w:kern w:val="2"/>
      <w:sz w:val="21"/>
      <w:szCs w:val="21"/>
      <w:lang w:val="en-US" w:eastAsia="zh-CN" w:bidi="ar-SA"/>
    </w:rPr>
  </w:style>
  <w:style w:type="character" w:customStyle="1" w:styleId="31">
    <w:name w:val="标题 7 字符"/>
    <w:link w:val="8"/>
    <w:semiHidden/>
    <w:qFormat/>
    <w:uiPriority w:val="0"/>
    <w:rPr>
      <w:rFonts w:ascii="Cambria" w:hAnsi="Cambria" w:eastAsia="宋体"/>
      <w:b/>
      <w:bCs/>
      <w:color w:val="9BBB59"/>
      <w:kern w:val="2"/>
      <w:lang w:val="en-US" w:eastAsia="zh-CN" w:bidi="ar-SA"/>
    </w:rPr>
  </w:style>
  <w:style w:type="character" w:customStyle="1" w:styleId="32">
    <w:name w:val="标题 8 字符"/>
    <w:link w:val="9"/>
    <w:semiHidden/>
    <w:qFormat/>
    <w:uiPriority w:val="0"/>
    <w:rPr>
      <w:rFonts w:ascii="Cambria" w:hAnsi="Cambria" w:eastAsia="宋体"/>
      <w:b/>
      <w:bCs/>
      <w:i/>
      <w:iCs/>
      <w:color w:val="9BBB59"/>
      <w:kern w:val="2"/>
      <w:lang w:val="en-US" w:eastAsia="zh-CN" w:bidi="ar-SA"/>
    </w:rPr>
  </w:style>
  <w:style w:type="character" w:customStyle="1" w:styleId="33">
    <w:name w:val="标题 9 字符"/>
    <w:link w:val="10"/>
    <w:semiHidden/>
    <w:qFormat/>
    <w:uiPriority w:val="0"/>
    <w:rPr>
      <w:rFonts w:ascii="Cambria" w:hAnsi="Cambria" w:eastAsia="宋体"/>
      <w:i/>
      <w:iCs/>
      <w:color w:val="9BBB59"/>
      <w:kern w:val="2"/>
      <w:lang w:val="en-US" w:eastAsia="zh-CN" w:bidi="ar-SA"/>
    </w:rPr>
  </w:style>
  <w:style w:type="character" w:customStyle="1" w:styleId="34">
    <w:name w:val="文档结构图 字符"/>
    <w:link w:val="11"/>
    <w:semiHidden/>
    <w:qFormat/>
    <w:uiPriority w:val="0"/>
    <w:rPr>
      <w:kern w:val="2"/>
      <w:sz w:val="21"/>
      <w:szCs w:val="21"/>
      <w:shd w:val="clear" w:color="auto" w:fill="000080"/>
      <w:lang w:bidi="ar-SA"/>
    </w:rPr>
  </w:style>
  <w:style w:type="character" w:customStyle="1" w:styleId="35">
    <w:name w:val="批注文字 字符"/>
    <w:link w:val="12"/>
    <w:semiHidden/>
    <w:qFormat/>
    <w:uiPriority w:val="0"/>
    <w:rPr>
      <w:rFonts w:eastAsia="宋体"/>
      <w:kern w:val="2"/>
      <w:sz w:val="21"/>
      <w:szCs w:val="21"/>
      <w:lang w:val="en-US" w:eastAsia="zh-CN" w:bidi="ar-SA"/>
    </w:rPr>
  </w:style>
  <w:style w:type="character" w:customStyle="1" w:styleId="36">
    <w:name w:val="正文文本 字符"/>
    <w:link w:val="13"/>
    <w:qFormat/>
    <w:uiPriority w:val="0"/>
    <w:rPr>
      <w:kern w:val="2"/>
      <w:sz w:val="18"/>
      <w:lang w:bidi="ar-SA"/>
    </w:rPr>
  </w:style>
  <w:style w:type="character" w:customStyle="1" w:styleId="37">
    <w:name w:val="批注框文本 字符"/>
    <w:link w:val="14"/>
    <w:semiHidden/>
    <w:qFormat/>
    <w:uiPriority w:val="0"/>
    <w:rPr>
      <w:kern w:val="2"/>
      <w:sz w:val="18"/>
      <w:szCs w:val="18"/>
      <w:lang w:bidi="ar-SA"/>
    </w:rPr>
  </w:style>
  <w:style w:type="character" w:customStyle="1" w:styleId="38">
    <w:name w:val="页脚 字符"/>
    <w:link w:val="15"/>
    <w:semiHidden/>
    <w:qFormat/>
    <w:uiPriority w:val="0"/>
    <w:rPr>
      <w:kern w:val="2"/>
      <w:sz w:val="18"/>
      <w:szCs w:val="18"/>
      <w:lang w:bidi="ar-SA"/>
    </w:rPr>
  </w:style>
  <w:style w:type="character" w:customStyle="1" w:styleId="39">
    <w:name w:val="页眉 字符"/>
    <w:link w:val="16"/>
    <w:qFormat/>
    <w:uiPriority w:val="0"/>
    <w:rPr>
      <w:kern w:val="2"/>
      <w:sz w:val="18"/>
      <w:szCs w:val="18"/>
      <w:lang w:bidi="ar-SA"/>
    </w:rPr>
  </w:style>
  <w:style w:type="character" w:customStyle="1" w:styleId="40">
    <w:name w:val="副标题 字符"/>
    <w:link w:val="17"/>
    <w:qFormat/>
    <w:uiPriority w:val="0"/>
    <w:rPr>
      <w:rFonts w:ascii="Calibri"/>
      <w:i/>
      <w:iCs/>
      <w:sz w:val="24"/>
      <w:szCs w:val="24"/>
      <w:lang w:bidi="ar-SA"/>
    </w:rPr>
  </w:style>
  <w:style w:type="character" w:customStyle="1" w:styleId="41">
    <w:name w:val="标题 字符"/>
    <w:link w:val="18"/>
    <w:qFormat/>
    <w:uiPriority w:val="0"/>
    <w:rPr>
      <w:rFonts w:ascii="Cambria" w:hAnsi="Cambria" w:eastAsia="宋体"/>
      <w:i/>
      <w:iCs/>
      <w:color w:val="243F60"/>
      <w:sz w:val="60"/>
      <w:szCs w:val="60"/>
      <w:lang w:bidi="ar-SA"/>
    </w:rPr>
  </w:style>
  <w:style w:type="character" w:customStyle="1" w:styleId="42">
    <w:name w:val="批注主题 字符"/>
    <w:link w:val="19"/>
    <w:semiHidden/>
    <w:qFormat/>
    <w:uiPriority w:val="0"/>
    <w:rPr>
      <w:rFonts w:eastAsia="宋体"/>
      <w:b/>
      <w:bCs/>
      <w:kern w:val="2"/>
      <w:sz w:val="21"/>
      <w:szCs w:val="21"/>
      <w:lang w:val="en-US" w:eastAsia="zh-CN" w:bidi="ar-SA"/>
    </w:rPr>
  </w:style>
  <w:style w:type="character" w:customStyle="1" w:styleId="43">
    <w:name w:val="引用 字符"/>
    <w:link w:val="44"/>
    <w:qFormat/>
    <w:uiPriority w:val="0"/>
    <w:rPr>
      <w:rFonts w:ascii="Cambria" w:hAnsi="Cambria" w:eastAsia="宋体"/>
      <w:i/>
      <w:iCs/>
      <w:color w:val="5A5A5A"/>
      <w:lang w:bidi="ar-SA"/>
    </w:rPr>
  </w:style>
  <w:style w:type="paragraph" w:styleId="44">
    <w:name w:val="Quote"/>
    <w:basedOn w:val="1"/>
    <w:next w:val="1"/>
    <w:link w:val="43"/>
    <w:qFormat/>
    <w:uiPriority w:val="0"/>
    <w:rPr>
      <w:rFonts w:ascii="Cambria" w:hAnsi="Cambria"/>
      <w:i/>
      <w:iCs/>
      <w:color w:val="5A5A5A"/>
      <w:kern w:val="0"/>
      <w:sz w:val="20"/>
      <w:szCs w:val="20"/>
    </w:rPr>
  </w:style>
  <w:style w:type="character" w:customStyle="1" w:styleId="45">
    <w:name w:val="font41"/>
    <w:qFormat/>
    <w:uiPriority w:val="0"/>
    <w:rPr>
      <w:rFonts w:hint="eastAsia" w:ascii="宋体" w:hAnsi="宋体" w:eastAsia="宋体"/>
      <w:color w:val="000000"/>
      <w:sz w:val="20"/>
      <w:szCs w:val="20"/>
      <w:u w:val="none"/>
    </w:rPr>
  </w:style>
  <w:style w:type="character" w:customStyle="1" w:styleId="46">
    <w:name w:val="pagelinks"/>
    <w:basedOn w:val="21"/>
    <w:qFormat/>
    <w:uiPriority w:val="0"/>
  </w:style>
  <w:style w:type="character" w:customStyle="1" w:styleId="47">
    <w:name w:val="无间隔 字符"/>
    <w:link w:val="48"/>
    <w:qFormat/>
    <w:uiPriority w:val="0"/>
    <w:rPr>
      <w:rFonts w:eastAsia="宋体"/>
      <w:kern w:val="2"/>
      <w:sz w:val="21"/>
      <w:szCs w:val="21"/>
      <w:lang w:val="en-US" w:eastAsia="zh-CN" w:bidi="ar-SA"/>
    </w:rPr>
  </w:style>
  <w:style w:type="paragraph" w:styleId="48">
    <w:name w:val="No Spacing"/>
    <w:basedOn w:val="1"/>
    <w:link w:val="47"/>
    <w:qFormat/>
    <w:uiPriority w:val="0"/>
  </w:style>
  <w:style w:type="character" w:customStyle="1" w:styleId="49">
    <w:name w:val="pagebanner"/>
    <w:basedOn w:val="21"/>
    <w:qFormat/>
    <w:uiPriority w:val="0"/>
  </w:style>
  <w:style w:type="character" w:customStyle="1" w:styleId="50">
    <w:name w:val="明显引用 字符"/>
    <w:link w:val="51"/>
    <w:qFormat/>
    <w:uiPriority w:val="0"/>
    <w:rPr>
      <w:rFonts w:ascii="Cambria" w:hAnsi="Cambria" w:eastAsia="宋体"/>
      <w:i/>
      <w:iCs/>
      <w:color w:val="CCE8CF"/>
      <w:sz w:val="24"/>
      <w:szCs w:val="24"/>
      <w:shd w:val="clear" w:color="auto" w:fill="4F81BD"/>
      <w:lang w:bidi="ar-SA"/>
    </w:rPr>
  </w:style>
  <w:style w:type="paragraph" w:styleId="51">
    <w:name w:val="Intense Quote"/>
    <w:basedOn w:val="1"/>
    <w:next w:val="1"/>
    <w:link w:val="50"/>
    <w:qFormat/>
    <w:uiPriority w:val="0"/>
    <w:pPr>
      <w:pBdr>
        <w:top w:val="single" w:color="B8CCE4" w:sz="12" w:space="10"/>
        <w:left w:val="single" w:color="4F81BD" w:sz="36" w:space="4"/>
        <w:bottom w:val="single" w:color="9BBB59" w:sz="24" w:space="10"/>
        <w:right w:val="single" w:color="4F81BD" w:sz="36" w:space="4"/>
      </w:pBdr>
      <w:shd w:val="clear" w:color="auto" w:fill="4F81BD"/>
      <w:spacing w:before="320" w:after="320" w:line="300" w:lineRule="auto"/>
      <w:ind w:left="1440" w:right="1440"/>
    </w:pPr>
    <w:rPr>
      <w:rFonts w:ascii="Cambria" w:hAnsi="Cambria"/>
      <w:i/>
      <w:iCs/>
      <w:color w:val="CCE8CF"/>
      <w:kern w:val="0"/>
      <w:sz w:val="24"/>
      <w:szCs w:val="24"/>
      <w:shd w:val="clear" w:color="auto" w:fill="4F81BD"/>
    </w:rPr>
  </w:style>
  <w:style w:type="character" w:customStyle="1" w:styleId="52">
    <w:name w:val="font11"/>
    <w:qFormat/>
    <w:uiPriority w:val="0"/>
    <w:rPr>
      <w:rFonts w:hint="eastAsia" w:ascii="方正姚体" w:eastAsia="方正姚体"/>
      <w:color w:val="000000"/>
      <w:sz w:val="18"/>
      <w:szCs w:val="18"/>
      <w:u w:val="none"/>
    </w:rPr>
  </w:style>
  <w:style w:type="character" w:customStyle="1" w:styleId="53">
    <w:name w:val="font21"/>
    <w:qFormat/>
    <w:uiPriority w:val="0"/>
    <w:rPr>
      <w:rFonts w:hint="eastAsia" w:ascii="方正姚体" w:eastAsia="方正姚体"/>
      <w:color w:val="000000"/>
      <w:sz w:val="18"/>
      <w:szCs w:val="18"/>
      <w:u w:val="none"/>
    </w:rPr>
  </w:style>
  <w:style w:type="character" w:customStyle="1" w:styleId="54">
    <w:name w:val="font31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paragraph" w:customStyle="1" w:styleId="55">
    <w:name w:val="TOC 标题1"/>
    <w:basedOn w:val="2"/>
    <w:next w:val="1"/>
    <w:qFormat/>
    <w:uiPriority w:val="0"/>
    <w:pPr>
      <w:outlineLvl w:val="9"/>
    </w:pPr>
  </w:style>
  <w:style w:type="paragraph" w:customStyle="1" w:styleId="56">
    <w:name w:val="Char3"/>
    <w:basedOn w:val="11"/>
    <w:qFormat/>
    <w:uiPriority w:val="0"/>
    <w:pPr>
      <w:adjustRightInd w:val="0"/>
      <w:spacing w:line="436" w:lineRule="exact"/>
      <w:ind w:left="357"/>
      <w:jc w:val="left"/>
      <w:outlineLvl w:val="3"/>
    </w:pPr>
    <w:rPr>
      <w:rFonts w:ascii="Tahoma" w:hAnsi="Tahoma" w:cs="Tahoma"/>
      <w:b/>
      <w:bCs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36</Pages>
  <Words>12347</Words>
  <Characters>20435</Characters>
  <Lines>194</Lines>
  <Paragraphs>54</Paragraphs>
  <TotalTime>0</TotalTime>
  <ScaleCrop>false</ScaleCrop>
  <LinksUpToDate>false</LinksUpToDate>
  <CharactersWithSpaces>22194</CharactersWithSpaces>
  <Application>WPS Office_11.1.0.11753_F1E327BC-269C-435d-A152-05C5408002CA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2021-05-13T01:02:00Z</dcterms:created>
  <dc:creator>Administrator</dc:creator>
  <cp:lastModifiedBy>自分を愛する</cp:lastModifiedBy>
  <cp:lastPrinted>2021-05-18T01:40:00Z</cp:lastPrinted>
  <dcterms:modified xsi:type="dcterms:W3CDTF">2022-07-04T06:50:55Z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2052-11.1.0.11753</vt:lpwstr>
  </property>
  <property fmtid="{D5CDD505-2E9C-101B-9397-08002B2CF9AE}" pid="3" name="ICV">
    <vt:lpwstr>39E7DE849FED4BDE9FC3D92678FB03F9</vt:lpwstr>
  </property>
</Properties>
</file>